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1C_77/2017 vom 8. Februar 2017</w:t>
      </w:r>
    </w:p>
    <w:p>
      <w:r>
        <w:t>Bundesgericht, 2017-02-08, FR</w:t>
      </w:r>
    </w:p>
    <w:p>
      <w:r>
        <w:rPr>
          <w:b/>
        </w:rPr>
        <w:t xml:space="preserve">Quelle: </w:t>
      </w:r>
      <w:r>
        <w:t>https://mcp.opencaselaw.ch/entscheid/bger_1C_77_2017</w:t>
      </w:r>
    </w:p>
    <w:p>
      <w:r>
        <w:t>FR: TF 1C_77/2017 du 8 février 2017</w:t>
      </w:r>
    </w:p>
    <w:p>
      <w:r>
        <w:t>IT: TF 1C_77/2017 del 8 febbraio 2017</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recevable à l'encontre d'un arrêt du TPF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La présente espèce porte sur l'utilisation par l'autorité requérante de renseignements qui lui ont déjà été transmis et qui touchent le domaine secret. Toutefois, compte tenu de la nature de la décision attaquée (soit une autorisation d'utiliser les renseignements pour la répression d'escroqueries fiscales), le cas ne revêt en soi aucune importance particulière.</w:t>
      </w:r>
    </w:p>
    <w:p>
      <w:r>
        <w:rPr>
          <w:b/>
        </w:rPr>
        <w:t>E. 1.3</w:t>
      </w:r>
    </w:p>
    <w:p>
      <w:r>
        <w:t>Le recourant reproche à la Cour des plaintes de n'avoir répondu que de manière évasive aux arguments détaillés qui lui étaient soumis, commettant ainsi une violation de son droit d'être entendu. Comme cela était déjà relevé dans l'arrêt du 28 juin 2012, ce genre d'objections ne suffit pas à faire du présent cas une cause particulièrement importante. En effet, ni une motivation prétendument insuffisante de l'arrêt attaqué, ni une irrégularité formelle de la demande d'entraide ne constituent en soi des vices graves au sens de l' art. 84 LTF . Le recourant ne prétend pas que les arguments auxquels la Cour des plaintes n'aurait selon lui pas suffisamment répondu (motivation de la demande d'entraide, argumentation à décharge et proportionnalité) poseraient des questions de principe ou que l'instance précédente se serait écartée de la jurisprudence constante.</w:t>
      </w:r>
    </w:p>
    <w:p>
      <w:r>
        <w:rPr>
          <w:b/>
        </w:rPr>
        <w:t>E. 2</w:t>
      </w:r>
    </w:p>
    <w:p>
      <w:r>
        <w:t>Faute de porter sur un cas particulièrement important, le recours est dès lors irrecevable.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