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1C_777/2013 vom 4. November 2013</w:t>
      </w:r>
    </w:p>
    <w:p>
      <w:r>
        <w:t>Bundesgericht, 2013-11-04, DE</w:t>
      </w:r>
    </w:p>
    <w:p>
      <w:r>
        <w:rPr>
          <w:b/>
        </w:rPr>
        <w:t xml:space="preserve">Quelle: </w:t>
      </w:r>
      <w:r>
        <w:t>https://mcp.opencaselaw.ch/entscheid/bger_1C_777_2013</w:t>
      </w:r>
    </w:p>
    <w:p>
      <w:r>
        <w:t>FR: TF 1C_777/2013 du 4 novembre 2013</w:t>
      </w:r>
    </w:p>
    <w:p>
      <w:r>
        <w:t>IT: TF 1C_777/2013 del 4 novembre 2013</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äussert sich nicht ausdrücklich dazu, weshalb hier ein besonders bedeutender Fall nach Art. 84 BGG gegeben sein soll. Ob man annehmen kann, dass er das zumindest sinngemäss tut und die Beschwerde damit den Begründungsanforderungen von Art. 42 Abs. 2 BGG genügt, kann offen bleiben. Ein besonders bedeutender Fall ist jedenfalls zu verneinen.</w:t>
      </w:r>
    </w:p>
    <w:p>
      <w:r>
        <w:t>Die Vorinstanz kommt (E. 4.4) zum Schluss, die Darlegungen des Beschwerdeführers seien nicht geeignet, eine Verfolgungssituation in der Ukraine im Sinne von Art. 3 Ziff. 2 EAUe und Art. 2 lit. b und c IRSG konkret und glaubhaft aufzuzeigen. Die Erwägungen der Vorinstanz, auf welche verwiesen werden kann ( Art. 109 Abs. 3 BGG ), überzeugen. Die schweizerischen Behörden haben von den ukrainischen ausdrückliche Garantien für eine menschenrechtskonforme Behandlung des Beschwerdeführers verlangt, welche diese abgegeben haben. Ein derartiges Vorgehen ist nach der bundesgerichtlichen Rechtsprechung zulässig ( BGE 134 IV 156 E. 6). Rechtsfragen von grundsätzlicher Bedeutung stellen sich nicht. Auch sonst wie kommt dem Fall keine aussergewöhnliche Tragweite zu. Für das Bundesgericht besteht daher kein Anlass, die Sache an die Hand zu nehmen.</w:t>
      </w:r>
    </w:p>
    <w:p>
      <w:r>
        <w:t>Die Beschwerde ist danach unzulässig.</w:t>
      </w:r>
    </w:p>
    <w:p>
      <w:r>
        <w:rPr>
          <w:b/>
        </w:rPr>
        <w:t>E. 2</w:t>
      </w:r>
    </w:p>
    <w:p>
      <w:r>
        <w:t>Unter den gegebenen Umständen - der Beschwerdeführer befindet sich seit Längerem in Haft -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