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1C_76/2015 vom 12. November 2015</w:t>
      </w:r>
    </w:p>
    <w:p>
      <w:r>
        <w:t>Bundesgericht, 2015-11-12, FR</w:t>
      </w:r>
    </w:p>
    <w:p>
      <w:r>
        <w:rPr>
          <w:b/>
        </w:rPr>
        <w:t xml:space="preserve">Quelle: </w:t>
      </w:r>
      <w:r>
        <w:t>https://mcp.opencaselaw.ch/entscheid/bger_1C_76_2015</w:t>
      </w:r>
    </w:p>
    <w:p>
      <w:r>
        <w:t>FR: TF 1C_76/2015 du 12 novembre 2015</w:t>
      </w:r>
    </w:p>
    <w:p>
      <w:r>
        <w:t>IT: TF 1C_76/2015 del 12 novembre 2015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La recourante a pris part à la procédure de recours devant le Tribunal cantonal. Elle est particulièrement touchée par l'arrêt attaqué qui annule, à l'instar du tribunal de première instance, une autorisation préalable qui lui avait été accordée. Elle peut ainsi se prévaloir d'un intérêt digne de protection à ce que cette décision soit annulée et à ce que le permis soit rétabli. Elle a dès lors qualité pour agir au sens de l' art. 89 al. 1 LTF , et ses conclusions sont recevables au regard de l' art. 107 al. 2 LTF .</w:t>
      </w:r>
    </w:p>
    <w:p>
      <w:r>
        <w:rPr>
          <w:b/>
        </w:rPr>
        <w:t>E. 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137 V 143 consid. 1.2 p. 145).</w:t>
      </w:r>
    </w:p>
    <w:p>
      <w:r>
        <w:rPr>
          <w:b/>
        </w:rPr>
        <w:t>E. 2.1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il ne suffit pas que les motifs de la décision critiquée soient insoutenables, encore faut-il que cette dernière soit arbitraire dans son résultat ( ATF 141 I 49 consid. 3.4 p. 53 et les arrêts cités).</w:t>
      </w:r>
    </w:p>
    <w:p>
      <w:r>
        <w:rPr>
          <w:b/>
        </w:rPr>
        <w:t>E. 2.2</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 Les critiques de nature appellatoire sont irrecevables ( ATF 133 II 396 consid. 3.2 p. 399).</w:t>
      </w:r>
    </w:p>
    <w:p>
      <w:r>
        <w:rPr>
          <w:b/>
        </w:rPr>
        <w:t>E. 3</w:t>
      </w:r>
    </w:p>
    <w:p>
      <w:r>
        <w:t>Dans un premier grief de nature formelle, la recourante invoque l' art. 30 al. 1 Cst. Elle relève que l'arrêt cantonal a été été rendu dans une composition à trois juges alors que, statuant sur la notion de SBP à laquelle elle entendait donner une définition jurisprudentielle, elle se serait prononcée sur une question de principe et devait ainsi statuer à cinq juges comme l'exige l'art. 131 al. 2 let. a de la loi genevoise d'organisation judiciaire (OJ/GE).</w:t>
      </w:r>
    </w:p>
    <w:p>
      <w:r>
        <w:rPr>
          <w:b/>
        </w:rPr>
        <w:t>E. 3.1</w:t>
      </w:r>
    </w:p>
    <w:p>
      <w:r>
        <w:t>L' art. 30 al. 1 Cst. confère à toute personne le droit à un tribunal établi par la loi, compétent, indépendant, impartial. Ces garanties n'imposent pas aux cantons une organisation judiciaire ou une procédure particulières, mais exigent notamment que la loi formelle pose de manière générale les règles de compétence, de composition et d'organisation des tribunaux ( ATF 129 V 335 consid. 1.3.1 p. 338).</w:t>
      </w:r>
    </w:p>
    <w:p>
      <w:r>
        <w:rPr>
          <w:b/>
        </w:rPr>
        <w:t>E. 3.2</w:t>
      </w:r>
    </w:p>
    <w:p>
      <w:r>
        <w:t>Selon l' art. 131 OJ /GE, la Chambre administrative siège dans la composition de 3 juges (al. 1). Elle siège dans la composition de 5 juges (al. 2) notamment lorsqu'elle entend se prononcer sur une question de principe ou modifier la jurisprudence (let. a) ou lorsque le règlement de la juridiction le prévoit (let. d). Le règlement interne de la Chambre administrative permet à chaque juge de demander qu'une affaire soit délibérée par le plénum dans une composition à cinq juges, tous les projets d'arrêt et de décision étant remis à l'ensemble des membres de la juridiction (art. 5 ch. 3 et 5). La juridiction dispose ainsi d'une certaine autonomie pour décider de sa composition dans une cause particulière.</w:t>
      </w:r>
    </w:p>
    <w:p>
      <w:r>
        <w:rPr>
          <w:b/>
        </w:rPr>
        <w:t>E. 3.3</w:t>
      </w:r>
    </w:p>
    <w:p>
      <w:r>
        <w:t>La notion de surface brute de plancher (Bruttogeschossfläche) se retrouve dans de très nombreux textes du droit cantonal genevois, énumérés par la recourante, notamment en rapport avec les dispositions relatives à l'indice d'utilisation du sol. Elle figure également dans certaines dispositions du droit fédéral (cf. art. 42 al. 3 let. a et b de l'ordonnance sur l'aménagement du territoire (OAT, RS 700.1). Il s'agit dès lors d'une notion couramment appliquée par les autorités genevoises (cf. arrêts 1C_429/2014 du 17 juillet 2015, consid. 3.3 cité par la recourante elle-même dans ses observations du 3 août 2015; 1C_248/2008 du 25 septembre 2008); on ne saurait ainsi prétendre que la cour cantonale a ainsi tranché une question totalement nouvelle. Pour la résoudre, la Chambre administrative a renvoyé à la norme ORL 514 420, ce qui constitue une pratique courante qui n'est d'ailleurs pas contestée par la recourante.</w:t>
      </w:r>
    </w:p>
    <w:p>
      <w:r>
        <w:t>Dès lors, si l'arrêt cantonal prétend remédier à une insécurité juridique, il n'est en rien arbitraire de ne pas y voir une question de principe imposant une composition à cinq juges. Le grief doit être écarté.</w:t>
      </w:r>
    </w:p>
    <w:p>
      <w:r>
        <w:rPr>
          <w:b/>
        </w:rPr>
        <w:t>E. 4</w:t>
      </w:r>
    </w:p>
    <w:p>
      <w:r>
        <w:t>Dans sa réponse au recours, le DALE estime que l'arrêt attaqué appliquerait arbitrairement l'art. 5 al. 1 de la loi genevoise sur les constructions et installations diverses (LCI), disposition consacrée à la demande préalable. Le DALE estime qu'une telle procédure devrait être limitée aux aspects essentiels du projet, dont la question des SBP ne ferait pas partie. Un tel grief ne figure toutefois pas dans le recours; la recourante revient en effet sur la question des SBP (définition, solde disponible, bonus Minergie), sans plus prétendre que la question devrait être reportée au stade de l'autorisation définitive de construire. L'autorité qui n'a pas recouru elle-même mais est appelée à se prononcer sur le recours d'un tiers ne peut qu'appuyer ou contester l'argumentation soulevée. Elle ne peut faire valoir ses propres griefs, en particulier quand ceux-ci sont d'ordre constitutionnel et ne font donc pas l'objet d'un examen d'office ( art. 106 al. 2 LTF ). La question soulevée par le DALE n'a ainsi pas à être examinée.</w:t>
      </w:r>
    </w:p>
    <w:p>
      <w:r>
        <w:t>Au demeurant, il n'y a rien d'arbitraire à vérifier le respect des SBP disponibles au stade de la demande préalable, dans la mesure où le projet présenté est, comme en l'espèce, suffisamment précis pour cela, et en particulier lorsqu'il constitue l'ultime étape de réalisation d'un plan de quartier nécessitant de prendre en compte l'ensemble des transferts réalisés jusque-là.</w:t>
      </w:r>
    </w:p>
    <w:p>
      <w:r>
        <w:rPr>
          <w:b/>
        </w:rPr>
        <w:t>E. 5</w:t>
      </w:r>
    </w:p>
    <w:p>
      <w:r>
        <w:t>Relevant qu'il n'existe pas de définition légale de la surface brute de plancher, la recourante se réfère à la norme ORL 514 420 et estime que les façades "double peau" ne devraient pas en faire partie puisqu'il s'agit d'un espace totalement inutilisable; la cour cantonale avait d'ailleurs admis que les vides d'étage ne doivent pas être comptabilisés. Il en irait de même de l'atrium, intégré à tort dans la SBP. Quant aux sous-sols, ils seraient inutilisables de par la loi.</w:t>
      </w:r>
    </w:p>
    <w:p>
      <w:r>
        <w:rPr>
          <w:b/>
        </w:rPr>
        <w:t>E. 5.1</w:t>
      </w:r>
    </w:p>
    <w:p>
      <w:r>
        <w:t>La cour cantonale s'est référée - ce que la recourante ne critique pas - à la norme ORL 514 420 dont la teneur est la suivante:</w:t>
      </w:r>
    </w:p>
    <w:p>
      <w:r>
        <w:t>"La surface brute de plancher utile se compose de la somme de toutes les surfaces d'étages en dessous et en dessus du sol, y compris les surfaces des murs et des parois dans leur section horizontale.</w:t>
      </w:r>
    </w:p>
    <w:p>
      <w:r>
        <w:t>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coursives".</w:t>
      </w:r>
    </w:p>
    <w:p>
      <w:r>
        <w:rPr>
          <w:b/>
        </w:rPr>
        <w:t>E. 5.2</w:t>
      </w:r>
    </w:p>
    <w:p>
      <w:r>
        <w:t>Selon la définition - non contestée - qu'en donne l'arrêt attaqué, une façade "double peau" est constituée d'une façade simple traditionnelle, doublée sur l'extérieur d'une façade essentiellement vitrée dont le but est une meilleure isolation thermique et phonique, une meilleure ventilation et un chauffage par effet de serre. Selon la norme ORL précitée, l'épaisseur des murs doit être prise en considération pour le calcul de la SBP, quand bien même il s'agit de surfaces en soi inutilisables. Il n'y a donc rien d'arbitraire à prendre également en compte le vide séparant les deux façades, celles-ci devant être considérées comme un tout. La comparaison avec le "vide d'étage" est sans pertinence, la recourante ne précisant d'ailleurs pas ce que cette expression est censée recouvrir.</w:t>
      </w:r>
    </w:p>
    <w:p>
      <w:r>
        <w:rPr>
          <w:b/>
        </w:rPr>
        <w:t>E. 5.3</w:t>
      </w:r>
    </w:p>
    <w:p>
      <w:r>
        <w:t>La recourante relève ensuite que l'atrium serait une cour intérieure ouverte au centre du bâtiment, couverte par une verrière permettant l'apport de lumière naturelle à chaque étage. Il n'est toutefois pas contesté qu'il s'agit d'un espace totalement accessible et utilisable, donnant accès aux parties rentables de l'immeuble. L'intégration de cet élément aux SBP ne prête dès lors pas le flanc à la critique.</w:t>
      </w:r>
    </w:p>
    <w:p>
      <w:r>
        <w:rPr>
          <w:b/>
        </w:rPr>
        <w:t>E. 5.4</w:t>
      </w:r>
    </w:p>
    <w:p>
      <w:r>
        <w:t>Enfin, la référence de la recourante à l'art. 127 al. 1 LCI, qui interdit d'habiter les locaux en sous-sol, est sans pertinence puisque cette disposition n'empêche pas une utilisation autre que l'habitation. Or, la recourante ne tente pas de démontrer que les sous-sols auxquels elle fait référence ne pourraient en aucune façon être exploités conformément à la destination du bâtiment. Insuffisamment motivé, le grief doit être écarté.</w:t>
      </w:r>
    </w:p>
    <w:p>
      <w:r>
        <w:rPr>
          <w:b/>
        </w:rPr>
        <w:t>E. 6</w:t>
      </w:r>
    </w:p>
    <w:p>
      <w:r>
        <w:t>Se plaignant ensuite d'une inégalité de traitement, la recourante relève que les immeubles réalisés précédemment avaient bénéficié de dépassements des droits à bâtir (1'180 m² au total), et qu'elle devrait aussi pouvoir en bénéficier. Au lieu de cela, la cour cantonale aurait déduit les transferts opérés précédemment en faveur des bâtiments ABC et GHI.</w:t>
      </w:r>
    </w:p>
    <w:p>
      <w:r>
        <w:rPr>
          <w:b/>
        </w:rPr>
        <w:t>E. 6.1</w:t>
      </w:r>
    </w:p>
    <w:p>
      <w:r>
        <w:t>La cour cantonale a tenu compte du principe d'égalité de traitement en considérant que le solde disponible pour le dernier bâtiment ne devait pas se déterminer par simple soustraction des surfaces construites sur l'ensemble du PLQ, mais en tenant compte des droits à bâtir revenant aux deux parcelles en cause, déduction faite des transferts effectivement réalisés à partir de ces parcelles.</w:t>
      </w:r>
    </w:p>
    <w:p>
      <w:r>
        <w:rPr>
          <w:b/>
        </w:rPr>
        <w:t>E. 6.2</w:t>
      </w:r>
    </w:p>
    <w:p>
      <w:r>
        <w:t>Si la recourante soutient que certains immeubles auraient bénéficié de dépassements, elle ne prétend pas que ces dépassements auraient été dûment autorisés par le département compétent ni même que ce dernier aurait délibérément violé la réglementation avec l'intention de poursuivre une telle pratique. Or, c'est à ces seules conditions que la recourante pourrait invoquer l'égalité dans l'illégalité ( ATF 136 I 65 consid. 5.6 p. 78).</w:t>
      </w:r>
    </w:p>
    <w:p>
      <w:r>
        <w:rPr>
          <w:b/>
        </w:rPr>
        <w:t>E. 6.3</w:t>
      </w:r>
    </w:p>
    <w:p>
      <w:r>
        <w:t>La recourante ne conteste pas la réalité des transferts de droits à bâtir en faveur notamment du bâtiment GHI (11'449 m²). Ayant réalisé les précédentes étapes du PLQ, elle a elle-même bénéficié des transferts autorisés par convention avec l'Etat et peut d'autant moins se plaindre d'une inégalité de traitement. Le grief apparaît ainsi manifestement mal fondé.</w:t>
      </w:r>
    </w:p>
    <w:p>
      <w:r>
        <w:rPr>
          <w:b/>
        </w:rPr>
        <w:t>E. 7</w:t>
      </w:r>
    </w:p>
    <w:p>
      <w:r>
        <w:t>La recourante estime qu'elle devrait pouvoir bénéficier du bonus Minergie (10% d'augmentation de la SBP) non seulement pour l'immeuble J, mais aussi pour l'immeuble GHI qui n'en avait pas bénéficié au moment de sa construction. Une telle prise en compte aurait en effet permis de réduire de 2'955 m² le transfert convenu au détriment des parcelles 3600 et 4618.</w:t>
      </w:r>
    </w:p>
    <w:p>
      <w:r>
        <w:t>La cour cantonale a considéré que le bonus Minergie ne pouvait pas être calculé sur l'ensemble de la surface constructible du PLQ, mais uniquement pour les immeubles concernés. En outre, elle a estimé qu'un transfert de ce bonus sur une autre parcelle n'apparaissait pas justifiable juridiquement, compte tenu de la finalité poursuivie, de l'absence de base légale et de la possibilité qui en résulterait de bénéficier, pour certaines parcelles, d'une double majoration. Ces considérations n'ont rien d'insoutenable. La recourante perd en outre de vue que ses prétentions tendent à revenir sur les conditions de l'autorisation de construire relative à l'immeuble GHI, laquelle est entrée en force et a été utilisée. Elle ne saurait dès lors remettre en cause après coup le contenu de cette autorisation en y ajoutant un bonus qui, à tort ou à raison, n'y figure pas.</w:t>
      </w:r>
    </w:p>
    <w:p>
      <w:r>
        <w:rPr>
          <w:b/>
        </w:rPr>
        <w:t>E. 8</w:t>
      </w:r>
    </w:p>
    <w:p>
      <w:r>
        <w:t>La recourante ne parvient dès lors pas à démontrer que l'arrêt attaqué serait arbitraire dans sa motivation. Il ne l'est d'ailleurs pas non plus dans son résultat. En effet, la cour cantonale a considéré que, selon une pratique constante tenant compte de l'imprécision inhérente au calcul des SBP, une marge d'erreur de 3% au maximum était tolérable. Or, selon le tableau récapitulatif dressé par la recourante, ses propres calculs aboutissent à une surface à bâtir disponible de 9'885 m², alors que le bâtiment comporterait 10'552 m² de SBP, soit 667 m² supplémentaires. Ce dépassement, calculé sur la surface des deux parcelles concernées (et non sur l'ensemble du PLQ, contrairement à ce que soutient la recourante), apparaît ainsi nettement supérieur aux 3% admissibles.</w:t>
      </w:r>
    </w:p>
    <w:p>
      <w:r>
        <w:rPr>
          <w:b/>
        </w:rPr>
        <w:t>E. 9</w:t>
      </w:r>
    </w:p>
    <w:p>
      <w:r>
        <w:t>La recourante revient enfin sur la question de la proximité des citernes d'hydrocarbures. Elle estime qu'en vertu du principe de causalité, elle ne pourrait être sanctionnée en raison du risque présenté par l'installation d'un tiers. La recourante perd de vue que les considérations de la cour cantonale ont été formulées non pas pour confirmer l'annulation de l'autorisation de construire, mais dans la perspective d'un nouveau projet de construction. La question n'a donc pas à être examinée à ce stade. Au demeurant, selon la jurisprudence, le respect des périmètres de sécurité doit s'imposer tant aux détenteurs des installations dangereuses et aux autorités de planification qu'aux propriétaires voisins (arrêts 1C_252/2011 du 22 février 2012 consid. 4.1; 1C_403/2009 du 8 juin 2010 consid. 6.1).</w:t>
      </w:r>
    </w:p>
    <w:p>
      <w:r>
        <w:rPr>
          <w:b/>
        </w:rPr>
        <w:t>E. 10</w:t>
      </w:r>
    </w:p>
    <w:p>
      <w:r>
        <w:t>Sur le vu de ce qui précède, le recours est rejeté, dans la mesure où il est recevable. Conformément aux art. 66 al. 1 et 68 al. 2 LTF, les frais judiciaires sont mis à la charge de la recourante, de même que les indemnités de dépens allouées aux trois intimés qui obtiennent gain de cause en étant représentés pas des mandataires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