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1C_768/2025 vom 5. Januar 2026</w:t>
      </w:r>
    </w:p>
    <w:p>
      <w:r>
        <w:t>Bundesgericht, 2026-01-05, DE</w:t>
      </w:r>
    </w:p>
    <w:p>
      <w:r>
        <w:rPr>
          <w:b/>
        </w:rPr>
        <w:t xml:space="preserve">Quelle: </w:t>
      </w:r>
      <w:r>
        <w:t>https://mcp.opencaselaw.ch/entscheid/bger_1C_768_2025</w:t>
      </w:r>
    </w:p>
    <w:p>
      <w:r>
        <w:t>FR: TF 1C_768/2025 du 5 janvier 2026</w:t>
      </w:r>
    </w:p>
    <w:p>
      <w:r>
        <w:t>IT: TF 1C_768/2025 del 5 gennaio 2026</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nach Art. 84 vorliegt, so ist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Gemäss Art. 93 Abs. 2 BGG sind auf dem Gebiet der internationalen Rechtshilfe in Strafsachen Zwischenentscheide nicht anfechtbar. Vorbehalten bleiben Beschwerden gegen Entscheide unter anderem über die Auslieferungshaft, sofern die Voraussetzungen von Abs. 1 erfüllt sind. Da ein erlittener Freiheitsentzug nicht mehr rückgängig gemacht werden kann, trifft dies zu ( BGE 136 IV 20 E. 1.1). Auch ein Entscheid über die Auslieferungshaft ist jedoch nur anfechtbar, wenn ein besonders bedeutender Fall nach Art. 84 BGG gegeben ist ( BGE 136 IV 20 E. 1.2 mit Hinweisen).</w:t>
      </w:r>
    </w:p>
    <w:p>
      <w:r>
        <w:rPr>
          <w:b/>
        </w:rPr>
        <w:t>E. 1.3</w:t>
      </w:r>
    </w:p>
    <w:p>
      <w:r>
        <w:t>Der Beschwerdeführer rügt einzig eine Verletzung von Art. 16 Ziff. 4 EAUe . Gemäss dieser Bestimmung kann die vorläufige Haft aufgehoben werden, wenn das Auslieferungsersuchen und die in Art. 12 EAUe erwähnten Unterlagen dem ersuchten Staat nicht innerhalb von 18 Tagen nach der Verhaftung vorliegen; sie darf in keinem Falle 40 Tage vom Zeitpunkt der Verhaftung an überschreiten. Der Beschwerdeführer verweist auf das Urteil 8G.12/2004 vom 16. Februar 2004 und bringt vor, dass ein sachlicher Grund für die Fristerstreckung auf 40 Tage gegeben sein müsse, was hier nicht dargetan sei. Das Bundesgericht hat im erwähnten Urteil einen sachlichen Grund für eine Fristerstreckung bejaht, aber nicht erwogen, dass mangels eines solchen die Haftentlassung anzuordnen gewesen wäre (vgl. a.a.O., E. 1). In anderen Urteilen hat es darüber hinaus festgehalten, dass Art. 16 Ziff. 4 EAUe die Bewilligung einer Fristverlängerung im Gegensatz zu Art. 50 Abs. 1 IRSG (SR 351.1) nicht an das Vorliegen besonderer Gründe knüpfe, und es prüfte auch nicht weiter, weshalb die Fristerstreckung vom Bundesamt gewährt worden war. Ergänzend legte es dar, dass selbst die Nichteinhaltung der Frist zur Einreichung des Auslieferungsersuchens nicht zur Folge hätte, dass die betroffene Person freizulassen und die Auslieferung zu verweigern wäre, zumal eine verfolgte Person nach Art. 16 Ziff. 4 EAUe auch gestützt auf ein nachträglich eingereichtes Gesuch in Haft versetzt und ausgeliefert werden könne (Urteile 1A.118/1998 vom 15. Oktober 1998 E. 2a und 8G.37/2000 vom 29. August 2000 E. 1c). Es ist vor diesem Hintergrund nicht zu beanstanden, dass das Bundesstrafgericht nicht prüfte, ob ein sachlicher Grund für die Fristerstreckung vorlag. Für das Bundesgericht besteht kein Anlass, die Sache an die Hand zu nehmen.</w:t>
      </w:r>
    </w:p>
    <w:p>
      <w:r>
        <w:rPr>
          <w:b/>
        </w:rPr>
        <w:t>E. 2</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