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768/2013 vom 10. März 2014</w:t>
      </w:r>
    </w:p>
    <w:p>
      <w:r>
        <w:t>Bundesgericht, 2014-03-10, FR</w:t>
      </w:r>
    </w:p>
    <w:p>
      <w:r>
        <w:rPr>
          <w:b/>
        </w:rPr>
        <w:t xml:space="preserve">Quelle: </w:t>
      </w:r>
      <w:r>
        <w:t>https://mcp.opencaselaw.ch/entscheid/bger_1C_768_2013</w:t>
      </w:r>
    </w:p>
    <w:p>
      <w:r>
        <w:t>FR: TF 1C 768/2013 du 10 mars 2014</w:t>
      </w:r>
    </w:p>
    <w:p>
      <w:r>
        <w:t>IT: TF 1C 768/2013 del 10 marzo 2014</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w:t>
      </w:r>
    </w:p>
    <w:p>
      <w:r>
        <w:rPr>
          <w:b/>
        </w:rPr>
        <w:t>E. 1.1</w:t>
      </w:r>
    </w:p>
    <w:p>
      <w:r>
        <w:t>La contestation porte sur le retrait à titre préventif du permis de conduire, en application de l'art. 30 de l'ordonnance du 27 octobre 1976 réglant l'admission à la circulation routière (OAC, RS 741.01). Cette mesure provisoire a été rendue dans le cadre d'une procédure destinée à déterminer l'aptitude à conduire de l'intéressé et la nécessité éventuelle d'un retrait de sécurité. La décision attaquée ne met pas fin à la procédure et constitue donc une décision incidente (cf. ATF 122 II 359 consid. 1a p. 361/362). Le recours est néanmoins ouvert, la condition du préjudice irréparable au sens de l' art. 93 al. 1 let. a LTF étant réalisée (cf. arrêt 1C_219/2011 du 30 septembre 2011 consid. 1.1; cf. ATF 122 II 359 consid. 1b p. 362).</w:t>
      </w:r>
    </w:p>
    <w:p>
      <w:r>
        <w:rPr>
          <w:b/>
        </w:rPr>
        <w:t>E. 1.2</w:t>
      </w:r>
    </w:p>
    <w:p>
      <w:r>
        <w:t>Le recourant a pris part à la procédure de recours devant l'autorité cantonale. Il a par ailleurs un intérêt digne de protection à ce que l'arrêt attaqué soit annulé en tant qu'il confirme une décision qui le prive de son permis de conduire jusqu'à ce que son aptitude à conduire soit démontrée. Sa qualité pour agir est à l'évidence donnée. Les autres conditions de recevabilité du recours sont réunies de sorte qu'il convient d'entrer en matière.</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soulevés doivent être suffisamment motivés, sous peine d'être déclarés irrecevables.</w:t>
      </w:r>
    </w:p>
    <w:p>
      <w:r>
        <w:rPr>
          <w:b/>
        </w:rPr>
        <w:t>E. 2</w:t>
      </w:r>
    </w:p>
    <w:p>
      <w:r>
        <w:t>Dans son écriture, le recourant présente divers éléments de fait qui ne ressortent pas de l'arrêt querellé. Il perd ainsi de vue que,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se plaint d'une application arbitraire de l' art. 16d al. 1 let. b LCR (en relation avec l' art. 14 LCR ) ainsi que de l' art. 30 OAC . Il estime arbitraire la décision querellée qui le prive de l'usage de son permis de conduire durant la procédure principale de retrait de permis, estimant sa situation différente des cas traités par la jurisprudence.</w:t>
      </w:r>
    </w:p>
    <w:p>
      <w:r>
        <w:rPr>
          <w:b/>
        </w:rPr>
        <w:t>E. 3.1</w:t>
      </w:r>
    </w:p>
    <w:p>
      <w:r>
        <w:t>L' art. 16d al. 1 let. b LCR prévoit que le permis d'élève conducteur ou le permis de conduire est retiré pour une durée indéterminée à la personne qui souffre d'une forme de dépendance la rendant inapte à la conduite (cf. également art. 14 LCR al. 2 let. c LCR). La décision de retrait de sécurité du permis pour cause d'inaptitude à la conduite constitue une atteinte grave à la sphère privée de l'intéressé et elle doit donc reposer sur une instruction précise des circonstances déterminantes (cf. ATF 139 II 95 consid. 3.4.1 p. 103). Aux termes de l' art. 30 OAC ,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122 II 359 consid. 3a p. 364; arrêt 1C_173/2009 du 27 mai 2009 consid. 3.1 in JdT 2009 I 520). Selon la jurisprudence, un examen de l'aptitude à conduire doit être ordonné lorsqu'un conducteur circulant en étant pris de boisson présente une alcoolémie de 2,5 o/oo ou plus, indépendamment des autres circonstances. En effet, les personnes avec un taux aussi élevé disposent d'une tolérance à l'alcool très importante qui indique en général une dépendance à cette substance (cf. ATF 129 II 82 consid. 4.2 p. 87; 127 II 122 consid. 3c p. 125; 126 II 185 consid. 2e p. 191). Un examen de l'aptitude à la conduite s'impose également si un conducteur circule une deuxième fois en état d'ébriété dans un délai de cinq ans et présente une alcoolémie supérieure à 1,6 o/oo (cf. ATF 129 II 82 consid. 4.2 et 5.2; 126 II 361 consid. 3b et 3c p. 364 s.) ou encore s'il conduit une troisième fois en état d'ébriété dans un intervalle de 10 ans, même si l'alcoolémie (valeur minimale) ne dépasse pas sensiblement la valeur limite de 0,8 o/oo (cf. arrêt 1C_108/2010 du 20 juillet 2010 consid. 2.2; cf. également manuel du 26 avril 2000 intitulé "Inaptitude à conduire: motifs de présomption, mesures, rétablissement de l'aptitude à conduire" élaboré par le groupe d'experts "Sécurité routière" du Département fédéral de l'environnement, des transports, de l'énergie et de la communication, p. 4).</w:t>
      </w:r>
    </w:p>
    <w:p>
      <w:r>
        <w:rPr>
          <w:b/>
        </w:rPr>
        <w:t>E. 3.2</w:t>
      </w:r>
    </w:p>
    <w:p>
      <w:r>
        <w:t>En l'espèce, le recourant a fait l'objet de trois retraits de permis pour ivresse au volant entre 1998 et 2009; l'alcoolémie relevée lors de ces infractions s'élevait à 1,34 o/oo au moins en 1998 (retrait de deux mois), 1,19 o/oo au moins en 2003 (retrait de douze mois) et 1,62 o/oo au moins en 2009 (retrait de douze mois). Selon l'arrêt entrepris, le prélèvement sanguin effectué le 4 juin 2012 a révélé un taux minimal de 1,48 o/oo et un taux maximal de 2 o/oo au moment de la conduite en état d'ébriété, la valeur moyenne s'élevant ainsi à 1,74 o/oo. Outre l'infraction commise en 1998, il s'agit in casu de la troisième ivresse au volant en moins de dix ans commises par l'intéressé, dont deux en moins de cinq ans (en 2009 et 2012) avec une concentration d'alcool supérieure à 1,6 o/oo. Le recourant conteste à tort cette dernière constatation, perdant en particulier de vue que la mesure d'alcoolémie la plus élevée peut être prise en compte par l'autorité administrative s'agissant d'une procédure relative à retrait de sécurité (cf. ATF 129 II 82 consid. 4.3 p. 87 s.; arrêt 1C_99/2007 du 13 juillet 2007 consid. 4.1). Au vu de la jurisprudence développée ci-dessus (cf. consid. 3.1), la cour cantonale pouvait à juste titre considérer que les antécédents du recourant en matière de conduite en état d'ébriété constituaient des indices suffisants d'une inaptitude à conduire sans danger un véhicule automobile en raison d'une éventuelle dépendance à l'alcool. La cour cantonale pouvait d'autant plus légitimement s'interroger sur l'aptitude du recourant que celui-ci avait, malgré deux retraits de permis d'une durée d'une année chacun, récidivé à peine deux ans après avoir purgé - au 7 avril 2010 - son troisième retrait de permis. Contrairement à ce que soutient le recourant, le fait qu'il n'ait pas commis d'accident en état d'ébriété n'est pas déterminant dès lors que cet élément ne permet pas d'exclure l'existence d'une dépendance à l'alcool. Par ailleurs, quoi qu'en pense l'intéressé, la présente affaire ne diffère pas singulièrement du cas traité dans l'arrêt précité 1C_108/2010 visant un conducteur ayant été appréhendé une troisième fois en état d'ébriété (taux supérieur à 0,8 o/oo) dans un délai de moins de 10 ans (cf. consid. 3.1 supra). Enfin, dès l'instant où la cour cantonale pouvait conclure à l'existence d'un doute fondé sur la capacité de l'intéressé à circuler au volant d'une automobile, elle n'avait d'autre choix que de prononcer le retrait immédiat à titre préventif du permis de conduire, jusqu'à droit connu sur le résultat de l'expertise destinée à dissiper ce doute. Le recourant se plaint dès lors en vain d'arbitraire.</w:t>
      </w:r>
    </w:p>
    <w:p>
      <w:r>
        <w:rPr>
          <w:b/>
        </w:rPr>
        <w:t>E. 4</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