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763/2013 vom 27. September 2013</w:t>
      </w:r>
    </w:p>
    <w:p>
      <w:r>
        <w:t>Bundesgericht, 2013-09-27, IT</w:t>
      </w:r>
    </w:p>
    <w:p>
      <w:r>
        <w:rPr>
          <w:b/>
        </w:rPr>
        <w:t xml:space="preserve">Quelle: </w:t>
      </w:r>
      <w:r>
        <w:t>https://mcp.opencaselaw.ch/entscheid/bger_1C_763_2013</w:t>
      </w:r>
    </w:p>
    <w:p>
      <w:r>
        <w:t>FR: TF 1C 763/2013 du 27 septembre 2013</w:t>
      </w:r>
    </w:p>
    <w:p>
      <w:r>
        <w:t>IT: TF 1C 763/2013 del 27 settembre 2013</w:t>
      </w:r>
    </w:p>
    <w:p>
      <w:pPr>
        <w:pStyle w:val="Heading2"/>
      </w:pPr>
      <w:r>
        <w:t>Regeste</w:t>
      </w:r>
    </w:p>
    <w:p>
      <w:r>
        <w:t>Assistenza giudiziaria internazionale in materia penale all'Italia; consegna di mezzi di prova | Assistenza giudiziaria e estradizione</w:t>
      </w:r>
    </w:p>
    <w:p>
      <w:pPr>
        <w:pStyle w:val="Heading2"/>
      </w:pPr>
      <w:r>
        <w:t>Erwägungen</w:t>
      </w:r>
    </w:p>
    <w:p>
      <w:r>
        <w:rPr>
          <w:b/>
        </w:rPr>
        <w:t>E. 1.1</w:t>
      </w:r>
    </w:p>
    <w:p>
      <w:r>
        <w:t>Secondo l' art. 109 cpv. 1 LTF , la corte giudica nella composizione di tre giudici circa la non entrata in materia su ricorsi soggetti all'esigenza dell' art. 84 LTF . Questa norma dispone che contro le decisioni emanate nel campo dell'assistenza giudiziaria internazionale in materia penale il ricorso è ammissibile soltanto se, tra l'altro, come nella fattispecie, concerne la comunicazione di informazioni inerenti alla sfera segreta e, inoltre, se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133 IV 131 consid. 3, 215 consid. 1.2; 137 IV 25 consid. 2.2 inedito; 136 IV 16 consid. 1 inedito) o non si ponga una questione giuridica di principio ( DTF 136 IV 20 consid. 1.2; 134 IV 156 consid. 1.3.3 e 1.3.4).</w:t>
      </w:r>
    </w:p>
    <w:p>
      <w:r>
        <w:rPr>
          <w:b/>
        </w:rPr>
        <w:t>E. 1.2</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w:t>
      </w:r>
    </w:p>
    <w:p>
      <w:r>
        <w:rPr>
          <w:b/>
        </w:rPr>
        <w:t>E. 2.1</w:t>
      </w:r>
    </w:p>
    <w:p>
      <w:r>
        <w:t>Spetta alla ricorrente spiegare perché la causa adempirebbe le citate condizioni (art. 42 cpv. 2 secondo periodo LTF; DTF 133 IV 131 consid. 3). La ricorrente neppure sostiene che si sarebbe in presenza di un caso particolarmente importante ai sensi dell' art. 84 cpv. 2 LTF , come del resto non è manifestamente il caso in concreto. La ricorrente si limita infatti a rilevare la sua estraneità alle indagini e a criticare, peraltro in maniera del tutto generica, il fondamento delle accuse mosse in Italia nei confronti dell'imputato, segnatamente l'imputazione di associazione a delinquere e quella di riciclaggio. Ora, l'istanza precedente ha ritenuto, rettamente, che secondo la costante prassi per la concessione dell'assistenza sotto il profilo della doppia punibilità è sufficiente che i fatti addotti nella domanda estera, eseguita la dovuta trasposizione, siano punibili secondo il diritto svizzero ( DTF 124 II 184 ), ciò che nella fattispecie è il caso per il reato fallimentare.</w:t>
      </w:r>
    </w:p>
    <w:p>
      <w:r>
        <w:rPr>
          <w:b/>
        </w:rPr>
        <w:t>E. 2.2</w:t>
      </w:r>
    </w:p>
    <w:p>
      <w:r>
        <w:t>L'asserita violazione del diritto di essere sentito, a causa della pretesa carenza di motivazione della decisione impugnata sulle "eccezioni e deduzioni" addotte nella replica, supposta data, non rappresenterebbe in sé, né la ricorrente tenta di dimostrarlo, un vizio grave ai sensi dell' art. 84 LTF (sentenza 1C_323/2013 del 27 marzo 2013 consid. 1.3). La ricorrente parrebbe misconoscere inoltre che la procedura di assistenza costituisce una semplice procedura amministrativa, che non persegue lo scopo di statuire sulla colpevolezza penale dell'interessato. Per di più, il quesito relativo alla contestata colpevolezza di terzi, segnatamente dell'indagato, esula dall'oggetto del litigio.</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