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1C_762/2013 vom 27. Februar 2014</w:t>
      </w:r>
    </w:p>
    <w:p>
      <w:r>
        <w:t>Bundesgericht, 2014-02-27, FR</w:t>
      </w:r>
    </w:p>
    <w:p>
      <w:r>
        <w:rPr>
          <w:b/>
        </w:rPr>
        <w:t xml:space="preserve">Quelle: </w:t>
      </w:r>
      <w:r>
        <w:t>https://mcp.opencaselaw.ch/entscheid/bger_1C_762_2013</w:t>
      </w:r>
    </w:p>
    <w:p>
      <w:r>
        <w:t>FR: TF 1C_762/2013 du 27 février 2014</w:t>
      </w:r>
    </w:p>
    <w:p>
      <w:r>
        <w:t>IT: TF 1C_762/2013 del 27 febbraio 2014</w:t>
      </w:r>
    </w:p>
    <w:p>
      <w:pPr>
        <w:pStyle w:val="Heading2"/>
      </w:pPr>
      <w:r>
        <w:t>Erwägungen</w:t>
      </w:r>
    </w:p>
    <w:p>
      <w:r>
        <w:rPr>
          <w:b/>
        </w:rPr>
        <w:t>E. 1</w:t>
      </w:r>
    </w:p>
    <w:p>
      <w:r>
        <w:t>La voie du recours en matière de droit public, au sens des art. 82 ss LTF , est ouverte contre les décisions prises en dernière instance cantonale au sujet de mesures administratives de retrait du permis de conduire. Aucun motif d'exclusion au sens de l' art. 83 LTF n'entre en considération.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w:t>
      </w:r>
    </w:p>
    <w:p>
      <w:r>
        <w:t>Invoquant une violation du droit fédéral, plus précisément de son droit d'être entendu, ainsi que du principe de la présomption d'innocence, le recourant fait grief au juge pénal de ne pas avoir constaté correctement les faits pertinents, de ne pas avoir élucidé toutes les questions de droit et d'avoir statué à l'issue d'une procédure non contradictoire. Il reproche en particulier au juge pénal de ne pas avoir procédé à l'audition des agents de police qui l'avaient dénoncé et de ne pas avoir retenu, eu égard aux doutes existants, sa version des faits selon laquelle il n'avait pas zigzagué et n'avait pas franchi la ligne d'urgence. Compte tenu des circonstances précitées, il soutient que l'autorité administrative aurait dû s'écarter des constatations de fait retenues au pénal et procéder à l'administration des preuves.</w:t>
      </w:r>
    </w:p>
    <w:p>
      <w:r>
        <w:rPr>
          <w:b/>
        </w:rPr>
        <w:t>E. 2.1</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p. 368 et les références).</w:t>
      </w:r>
    </w:p>
    <w:p>
      <w:r>
        <w:t>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p. 101 s.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w:t>
      </w:r>
    </w:p>
    <w:p>
      <w:r>
        <w:rPr>
          <w:b/>
        </w:rPr>
        <w:t>E. 2.2</w:t>
      </w:r>
    </w:p>
    <w:p>
      <w:r>
        <w:t>En l'espèce, l'instance précédente ne s'est pas écartée des faits constatés par le juge pénal. Ce dernier a retenu, après avoir procédé à l'audition du recourant, que celui-ci avait circulé au volant d'un véhicule en ayant une occupation accessoire et qu'il avait de surcroît empiété sur la bande d'arrêt d'urgence (violation des art. 3 al. 1 et 36 al. 3 OCR). Le recourant savait que le SAN envisageait de prononcer une mesure de retrait du permis de conduire pour l'infraction dénoncée et que la procédure administrative avait été suspendue jusqu'à droit connu sur le plan pénal. Par conséquent, si le recourant désapprouvait les faits établis au pénal, il lui appartenait de faire valoir ses moyens dans le cadre de la procédure pénale conformément à la jurisprudence précitée. C'est dans ce cadre uniquement qu'il pouvait remettre en cause les constatations des gendarmes. S'il entendait en outre critiquer la manière dont s'est déroulée la procédure pénale devant le Préfet, il aurait dû faire valoir ses moyens dans le cadre d'un recours dirigé contre l'ordonnance préfectorale sur opposition. Dans la mesure où le recourant n'a pas attaqué l'ordonnance préfectorale sur opposition, il ne pouvait plus revenir sur les faits constatés au pénal. Au demeurant, contrairement à ce que soutient le recourant, l'ordonnance pénale du 21 janvier 2013 a été prise à l'issue d'une procédure contradictoire, le recourant ayant pu se déterminer oralement devant le Préfet sur les faits dénoncés par les agents de police.</w:t>
      </w:r>
    </w:p>
    <w:p>
      <w:r>
        <w:t>Par conséquent, l'autorité administrative n'a pas violé le droit fédéral en se considérant comme étant liée par l'état de fait à la base du jugement pénal. Elle n'a en particulier pas violé le droit d'être entendu du recourant en ne procédant pas à une nouvelle administration des preuves. Les griefs de l'intéressé doivent dès lors être rejetés. Au surplus, le recourant ne formule aucune critique à l'encontre de l'appréciation de la faute et de la mise en danger effectuée par l'instance précédente sur la base des faits établis.</w:t>
      </w:r>
    </w:p>
    <w:p>
      <w:r>
        <w:rPr>
          <w:b/>
        </w:rPr>
        <w:t>E. 3</w:t>
      </w:r>
    </w:p>
    <w:p>
      <w:r>
        <w:t>Il s'ensuit que le recours doit être rejeté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