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1C_75/2020 vom 13. Februar 2020</w:t>
      </w:r>
    </w:p>
    <w:p>
      <w:r>
        <w:t>Bundesgericht, 2020-02-13, DE</w:t>
      </w:r>
    </w:p>
    <w:p>
      <w:r>
        <w:rPr>
          <w:b/>
        </w:rPr>
        <w:t xml:space="preserve">Quelle: </w:t>
      </w:r>
      <w:r>
        <w:t>https://mcp.opencaselaw.ch/entscheid/bger_1C_75_2020</w:t>
      </w:r>
    </w:p>
    <w:p>
      <w:r>
        <w:t>FR: TF 1C_75/2020 du 13 février 2020</w:t>
      </w:r>
    </w:p>
    <w:p>
      <w:r>
        <w:t>IT: TF 1C_75/2020 del 13 febbraio 2020</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Der Beschwerdeführer rügt eine willkürliche Feststellung des Sachverhalts. Er macht geltend, der Hauptvertrag über den Kauf der Hubschrauber sei spätestens am 21. Dezember 2000 abgeschlossen worden, weshalb die verdächtige Zahlung über EUR 58'700.-- vom 4. Oktober 2002 an einen der Beschuldigten den Projektzuschlag nicht habe sichern können. Das Bundesstrafgericht hat dazu festgehalten, es sei tatsächlich anzunehmen, dass die im Rechtshilfeersuchen als verdächtig bezeichnete Zahlung erst nach dem Zuschlag geleistet worden sei. Die griechischen Strafverfolgungsbehörden gingen entsprechend davon aus, dass die geldwerten Vorteile den Beamten zunächst versprochen und nach dem Projektzuschlag geleistet worden seien. Da nach Art. 322ter und 322quater auch das Versprechen bzw. die Forderung eines nicht gebührenden Vorteils Tatbestandsmerkmal der Bestechung sei, komme es auf den zeitlichen Ablauf nicht an. Diese Ausführungen lassen keine willkürliche Sachverhaltsfeststellung erkennen. Soweit der Beschwerdeführer darüber hinaus behauptet, er sei in das Rüstungsgeschäft nicht verwickelt gewesen und habe den wahren Grund für die Zahlung der EUR 58'700.-- offengelegt, kann auf die zutreffenden Ausführungen im angefochtenen Entscheid verwiesen werden (a.a.O., E. 5) : Zielt das Rechtshilfeersuchen auf die Ermittlung des Wegs ab, auf dem Geldmittel möglicherweise strafbarer Herkunft verschoben worden sind, so sind die Behörden des ersuchenden Staats grundsätzlich über alle Transaktionen zu informieren, die über in die Angelegenheit verwickelte Konten getätigt wurden ( BGE 136 IV 82 E. 4 S. 85 ff.; 128 II 407 E. 6.3.1 S. 422 f.; 129 II 462 E. 5.3 S. 467 f.; je mit Hinweisen). Zutreffend sind auch die Ausführungen im angefochtenen Entscheid zur beidseitigen Strafbarkeit, wonach die Strafbarkeit nach dem Recht des ersuchenden Staats grundsätzlich nicht zu prüfen ist (angefochtener Entscheid, E. 6.1; BGE 116 Ib 89 E. 3 c/aa S. 94; Urteil 1C_371/2013 vom 3. Mai 2013 E. 2.1.2; je mit Hinweisen), und zur Frage der Verjährung, die im Rechtshilfeverkehr zwischen Vertragsstaaten des Europäischen Übereinkommens vom 20. April 1959 über die Rechtshilfe in Strafsachen (SR 0.351.1) ebenfalls nicht zu prüfen ist (angefochtener Entscheid, E. 6.2; BGE 136 IV 4 E. 6.3 S. 11; Urteil 1C_307/2016 vom 2. August 2016 E. 1.2; je mit Hinweisen). Darauf kann verwiesen werden.</w:t>
      </w:r>
    </w:p>
    <w:p>
      <w:r>
        <w:t>Rechtsfragen von grundsätzlicher Bedeutung stellen sich nicht. Auch sonst kommt dem Fall keine aussergewöhnliche Tragweite zu.</w:t>
      </w:r>
    </w:p>
    <w:p>
      <w:r>
        <w:rPr>
          <w:b/>
        </w:rPr>
        <w:t>E. 2</w:t>
      </w:r>
    </w:p>
    <w:p>
      <w:r>
        <w:t>Auf die Beschwerde ist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