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75/2017 vom 8. Februar 2017</w:t>
      </w:r>
    </w:p>
    <w:p>
      <w:r>
        <w:t>Bundesgericht, 2017-02-08, DE</w:t>
      </w:r>
    </w:p>
    <w:p>
      <w:r>
        <w:rPr>
          <w:b/>
        </w:rPr>
        <w:t xml:space="preserve">Quelle: </w:t>
      </w:r>
      <w:r>
        <w:t>https://mcp.opencaselaw.ch/entscheid/bger_1C_75_2017</w:t>
      </w:r>
    </w:p>
    <w:p>
      <w:r>
        <w:t>FR: TF 1C 75/2017 du 8 février 2017</w:t>
      </w:r>
    </w:p>
    <w:p>
      <w:r>
        <w:t>IT: TF 1C 75/2017 del 8 febbraio 2017</w:t>
      </w:r>
    </w:p>
    <w:p>
      <w:pPr>
        <w:pStyle w:val="Heading2"/>
      </w:pPr>
      <w:r>
        <w:t>Regeste</w:t>
      </w:r>
    </w:p>
    <w:p>
      <w:r>
        <w:t>Ermächtigungsverfahren | Strafprozess</w:t>
      </w:r>
    </w:p>
    <w:p>
      <w:pPr>
        <w:pStyle w:val="Heading2"/>
      </w:pPr>
      <w:r>
        <w:t>Erwägungen</w:t>
      </w:r>
    </w:p>
    <w:p>
      <w:r>
        <w:rPr>
          <w:b/>
        </w:rPr>
        <w:t>E. 1</w:t>
      </w:r>
    </w:p>
    <w:p>
      <w:r>
        <w:t>A.________ gelangte mit mehreren Eingaben an die Rechtspflegekommission des Kantonsrates des Kantons St. Gallen. Darin bezichtigte er den Ersten Staatsanwalt und den regionalen Zwangsmassnahmenrichter am Kreisgericht St. Gallen der Freiheitsberaubung, der falschen Anschuldigung usw. Die Rechtspflegekommission des Kantonsrates leitete die Strafanzeigen am 27. Oktober 2016 zuständigkeitshalber an die Anklagekammer des Kantons St. Gallen weiter. Mit Eingabe vom 9. Dezember 2016 überwies auch das Untersuchungsamt St. Gallen eine weitere dahingehende Strafanzeige von A.________ gegen den Zwangsmassnahmenrichter an die Anklagekammer.</w:t>
      </w:r>
    </w:p>
    <w:p>
      <w:r>
        <w:rPr>
          <w:b/>
        </w:rPr>
        <w:t>E. 2</w:t>
      </w:r>
    </w:p>
    <w:p>
      <w:r>
        <w:t>Die Anklagekammer des Kantons St. Gallen erteilte mit Entscheid vom 4. Januar 2017 keine Ermächtigung zur Eröffnung von Strafverfahren. Zur Begründung führte sie zusammenfassend aus, dass die Eingaben des Anzeigers weitgehend unsubstantiiert seien und einen Realitätsbezug vermissen liessen. Nach den ausgesprochenen Morddrohungen sei der Erste Staatsanwalt verpflichtet gewesen, gegen den Anzeiger ein Strafverfahren zu eröffnen und Massnahmen zum Schutze der Betroffenen zu ergreifen. Der Zwangsmassnahmenrichter hatte sich mit den die Haft des Anzeigers betreffenden Verfahren zu befassen. Die Handlungen der beiden Angezeigten liessen - zumal im Lichte der gutachterlichen Feststellungen - in keiner Weise darauf schliessen, dass sich jene in irgendeiner Weise strafrechtlich relevant verhalten haben könnten. Die Ermächtigung sei somit nicht zu erteilen.</w:t>
      </w:r>
    </w:p>
    <w:p>
      <w:r>
        <w:rPr>
          <w:b/>
        </w:rPr>
        <w:t>E. 3</w:t>
      </w:r>
    </w:p>
    <w:p>
      <w:r>
        <w:t>A.________ führt mit Eingabe vom 4. Februar 2017 (Postaufgabe 6. Februar 2017) Beschwerde in öffentlich-rechtlichen Angelegenheiten gegen den Entscheid der Anklagekammer des Kantons St. Gallen vom 4. Januar 2017.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geht mit seinen nicht sachbezogenen Ausführungen überhaupt nicht auf die Begründung der Anklagekammer im angefochtenen Entscheid ein. Er legt nicht ansatzweise dar, inwiefern die Auffassung der Anklagekammer, ein strafrechtlich relevantes Verhalten sei nicht ersichtlich,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