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1C_753/2025 vom 30. Dezember 2025</w:t>
      </w:r>
    </w:p>
    <w:p>
      <w:r>
        <w:t>Bundesgericht, 2025-12-30, DE</w:t>
      </w:r>
    </w:p>
    <w:p>
      <w:r>
        <w:rPr>
          <w:b/>
        </w:rPr>
        <w:t xml:space="preserve">Quelle: </w:t>
      </w:r>
      <w:r>
        <w:t>https://mcp.opencaselaw.ch/entscheid/bger_1C_753_2025</w:t>
      </w:r>
    </w:p>
    <w:p>
      <w:r>
        <w:t>FR: TF 1C_753/2025 du 30 décembre 2025</w:t>
      </w:r>
    </w:p>
    <w:p>
      <w:r>
        <w:t>IT: TF 1C_753/2025 del 30 dicembre 2025</w:t>
      </w:r>
    </w:p>
    <w:p>
      <w:pPr>
        <w:pStyle w:val="Heading2"/>
      </w:pPr>
      <w:r>
        <w:t>Erwägungen</w:t>
      </w:r>
    </w:p>
    <w:p>
      <w:r>
        <w:rPr>
          <w:b/>
        </w:rPr>
        <w:t>E. 1</w:t>
      </w:r>
    </w:p>
    <w:p>
      <w:r>
        <w:t>Mit Entscheid vom 8. Oktober 2025 schrieb der Staatsrat des Kantons Wallis das bei ihm hängige Beschwerdeverfahren betreffend den gegen A.________ verfügten vorsorglichen Entzug des Führerausweises infolge Rückzugs der Beschwerde ab. Dagegen gelangte A.________ an das Kantonsgericht Wallis. Dieses forderte sie mit Verfügung vom 13. Oktober 2025 unter Androhung des Nichteintretens im Säumnisfall auf, innert 30 Tagen einen Kostenvorschuss von Fr. 1'500.-- zu leisten. Innert der angesetzten Frist und auch danach leistete A.________ den Kostenvorschuss nicht. Mit Urteil vom 25. November 2025 trat das Kantonsgericht deshalb androhungsgemäss auf die Beschwerde nicht ein, wobei es ausnahmsweise auf eine Kostenerhebung verzichtete und keine Parteientschädigungen zusprach.</w:t>
      </w:r>
    </w:p>
    <w:p>
      <w:r>
        <w:rPr>
          <w:b/>
        </w:rPr>
        <w:t>E. 2</w:t>
      </w:r>
    </w:p>
    <w:p>
      <w:r>
        <w:t>Mit handschriftlicher Eingabe vom 12. Dezember 2025 erhebt A.________ beim Bundesgericht sinngemäss Beschwerde gegen das Urteil des Kantonsgerichts.</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im angefochtenen Entscheid unter Nennung der massgeblichen verfahrensrechtlichen Bestimmungen des kantonalen Rechts dargelegt, dass bzw. weshalb auf die Beschwerde infolge der unterbliebenen Leistung des Kostenvorschusses nicht einzutreten sei. Die Beschwerdeführerin setzt sich in ihrer sinngemässen Beschwerde an das Bundesgericht mit den betreffenden Erwägungen nicht auseinander und legt auch nicht ansatzweise dar, inwiefern die Begründung der Vorinstanz bzw. deren Entscheid Recht im Sinne von Art. 42 Abs. 2 BGG verletzen würde. Ihre Beschwerde genügt daher den Begründungsanforderungen offensichtlich nicht. Soweit sie sich zum vorsorglichen Führerausweisentzug äussert und diesen kritisiert oder sonst Vorbringen macht, die nicht die Frage betreffen, ob die Vorinstanz zu Recht auf ihre Beschwerde nicht eingetreten ist, geht sie ferner offenkundig über den zulässigen Gegenstand des vorliegenden Verfahrens hinaus ( BGE 144 II 184 E. 1.1; 139 II 233 E. 3.2; 135 II 38 E. 1.2; je mit Hinweisen). Damit ist im vereinfachten Verfahren nach Art. 108 Abs. 1 BGG auf die Beschwerde nicht einzutreten.</w:t>
      </w:r>
    </w:p>
    <w:p>
      <w:r>
        <w:rPr>
          <w:b/>
        </w:rPr>
        <w:t>E. 4</w:t>
      </w:r>
    </w:p>
    <w:p>
      <w:r>
        <w:t>Bei diesem Verfahrensausgang ist die Beschwerdeführerin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