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1C_74/2020 vom 13. Februar 2020</w:t>
      </w:r>
    </w:p>
    <w:p>
      <w:r>
        <w:t>Bundesgericht, 2020-02-13, DE</w:t>
      </w:r>
    </w:p>
    <w:p>
      <w:r>
        <w:rPr>
          <w:b/>
        </w:rPr>
        <w:t xml:space="preserve">Quelle: </w:t>
      </w:r>
      <w:r>
        <w:t>https://mcp.opencaselaw.ch/entscheid/bger_1C_74_2020</w:t>
      </w:r>
    </w:p>
    <w:p>
      <w:r>
        <w:t>FR: TF 1C_74/2020 du 13 février 2020</w:t>
      </w:r>
    </w:p>
    <w:p>
      <w:r>
        <w:t>IT: TF 1C_74/2020 del 13 febbraio 2020</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Das Gesuch, die Auslieferung bis zur Entscheidung über das Gnadengesuch aufzuschieben, ist abzuweisen. Art. 107 Abs. 3 BGG sieht vor, dass das Bundesgericht - abgesehen von einem hier nicht gegebenen Ausnahmefall - den Nichteintretensentscheid innert 15 Tagen seit Abschluss eines allfälligen Schriftenwechsels fällt, wenn es eine Beschwerde auf dem Gebiet der internationalen Rechtshilfe in Strafsachen als unzulässig erachtet.</w:t>
      </w:r>
    </w:p>
    <w:p>
      <w:r>
        <w:rPr>
          <w:b/>
        </w:rPr>
        <w:t>E. 1.3</w:t>
      </w:r>
    </w:p>
    <w:p>
      <w:r>
        <w:t>Wie bereits im Auslieferungshaftverfahren behauptet der Beschwerdeführer, der Beschluss des Amtsgerichts Freiburg im Breisgau vom 4. Juni 2013 sei ihm "nicht resp. nicht korrekt" zugestellt worden. Er verweist auf eine Empfangsbestätigung, die sich auf ein Schreiben vom 5. Juni 2013 und einen Beschluss des Amtsgerichts Freiburg im Breisgau vom 5. Juni 2013 bezieht. Das Bundesgericht hat sich mit diesem Vorbringen bereits in seinem Urteil 1C_668/2019 vom 30. Dezember 2019 auseinandergesetzt. Auf die dortigen Ausführungen kann verwiesen werden. Der Beschwerdeführer macht auch im vorliegenden Verfahren keine näheren Angaben dazu, um welchen anderen Beschluss es sich dabei handelt, obwohl das Bundesgericht bereits damals erwog, ein Versehen bei der Datumsbezeichnung könne nicht ausgeschlossen werden.</w:t>
      </w:r>
    </w:p>
    <w:p>
      <w:r>
        <w:t>Dass aus einem anderen Grund ein besonders bedeutender Fall gegeben wäre, ist nicht ersichtlich. Die Beschwerde ist deshalb unzulässig.</w:t>
      </w:r>
    </w:p>
    <w:p>
      <w:r>
        <w:rPr>
          <w:b/>
        </w:rPr>
        <w:t>E. 2</w:t>
      </w:r>
    </w:p>
    <w:p>
      <w:r>
        <w:t>Auf die Beschwerde ist somit nicht einzutreten. Damit wird das Gesuch um aufschiebende Wirkung gegenstandslos. Der Beschwerde kommt im vorliegenden Fall ohnehin schon von Gesetzes wegen aufschiebende Wirkung zu ( Art. 103 Abs. 2 lit. c BGG ).</w:t>
      </w:r>
    </w:p>
    <w:p>
      <w:r>
        <w:t>Bei diesem Ausgang des Verfahrens sind die Gerichtskosten dem Beschwerdeführer aufzuerlegen ( Art. 66 Abs. 1 BGG ). Eine Parteientschädigung ist nicht zuzusprechen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