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74/2016 vom 12. September 2016</w:t>
      </w:r>
    </w:p>
    <w:p>
      <w:r>
        <w:t>Bundesgericht, 2016-09-12, FR</w:t>
      </w:r>
    </w:p>
    <w:p>
      <w:r>
        <w:rPr>
          <w:b/>
        </w:rPr>
        <w:t xml:space="preserve">Quelle: </w:t>
      </w:r>
      <w:r>
        <w:t>https://mcp.opencaselaw.ch/entscheid/bger_1C_74_2016</w:t>
      </w:r>
    </w:p>
    <w:p>
      <w:r>
        <w:t>FR: TF 1C 74/2016 du 12 septembre 2016</w:t>
      </w:r>
    </w:p>
    <w:p>
      <w:r>
        <w:t>IT: TF 1C 74/2016 del 12 settembre 2016</w:t>
      </w:r>
    </w:p>
    <w:p>
      <w:pPr>
        <w:pStyle w:val="Heading2"/>
      </w:pPr>
      <w:r>
        <w:t>Regeste</w:t>
      </w:r>
    </w:p>
    <w:p>
      <w:r>
        <w:t>permis de construire en zone agricole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Les recourants ont pris part à la procédure de recours devant le Tribunal cantonal. En tant que propriétaires d'une parcelle directement voisine du projet, ils sont particulièrement touchés par l'arrêt attaqué. Ils peuvent ainsi se prévaloir d'un intérêt personnel et digne de protection à l'annulation de l'arrêt attaqué et ont dès lors qualité pour agir au sens de l' art. 89 al. 1 LTF . Les autres conditions de recevabilité étant réunies, il y a lieu d'entrer en matière.</w:t>
      </w:r>
    </w:p>
    <w:p>
      <w:r>
        <w:rPr>
          <w:b/>
        </w:rPr>
        <w:t>E. 2</w:t>
      </w:r>
    </w:p>
    <w:p>
      <w:r>
        <w:t>Invoquant les art. 16a LAT et 34 al. 4 OAT, les recourants considèrent que le principe de concentration des bâtiments ne serait pas respecté dans le cas particulier. La distance de 30 m entre les bâtiments ne serait pas nécessaire; une des variantes proposées prévoyait d'ailleurs une distance réduite. La présence d'une zone ISOS n'empêcherait pas un meilleur regroupement, comme dans une autre variante proposée.</w:t>
      </w:r>
    </w:p>
    <w:p>
      <w:r>
        <w:rPr>
          <w:b/>
        </w:rPr>
        <w:t>E. 2.1</w:t>
      </w:r>
    </w:p>
    <w:p>
      <w:r>
        <w:t>Le critère de la nécessité exprimé aux art. 16a al. 1 LAT et 34 al. 4 let. a OAT signifie que les constructions doivent être adaptées, notamment par leur importance et leur implantation, aux besoins objectifs de l'exploitation en cause ( ATF 132 II 10 consid. 2.4 p. 17). En principe (sous réserve par exemple de la conservation d'un bâtiment digne de protection, du principe de proportionnalité ou de nouveaux besoins prévisibles), le volume total des bâtiments d'une exploitation agricole ne doit pas excéder ce que les besoins de celle-ci nécessitent ( ATF 123 II 499 consid. 3b/cc p. 508; arrêt 1C_892/2913 du 1er avril 2015 consid. 3.2 et les arrêts cités). En ce qui concerne l'emplacement d'une construction agricole, le droit fédéral n'exige pas l'étude de variantes. Le requérant ne dispose pas pour autant d'un libre choix absolu du lieu d'implantation à l'intérieur de sa parcelle ( ATF 129 II 413 consid. 3.2 p. 416; 125 II 278 consid. 3a p. 281). Il faut qu'il apparaisse objectivement nécessaire que la construction soit réalisée à l'endroit prévu; cela suppose un examen de tous les intérêts en présence (arrêt 1C_892/2013 du 1er avril 2015 consid. 3.2 et les arrêts cités). Dans tous les cas, vu l'important intérêt public à éviter la dispersion des constructions, les bâtiments et installations doivent être regroupés autant que possible (" Konzentrationsprinzip "; ATF 141 II 50 consid. 2.5 p. 53).</w:t>
      </w:r>
    </w:p>
    <w:p>
      <w:r>
        <w:rPr>
          <w:b/>
        </w:rPr>
        <w:t>E. 2.2</w:t>
      </w:r>
    </w:p>
    <w:p>
      <w:r>
        <w:t>La cour cantonale ainsi que la Section des permis de construire considèrent qu'un espacement de 25 à 30 m entre les bâtiments agricoles correspondrait à la manière de bâtir à la Chaux-des-Breuleux; les mesures de protection de l'ISOS concerneraient également la distance traditionnelle entre bâtiments. L'ARE considère que cette pratique locale ne pourrait être suivie dans la mesure où elle contrevient au principe de concentration. Compte tenu des considérations qui suivent pour le cas particulier, cette question générale peut demeurer indécise.</w:t>
      </w:r>
    </w:p>
    <w:p>
      <w:r>
        <w:rPr>
          <w:b/>
        </w:rPr>
        <w:t>E. 2.3</w:t>
      </w:r>
    </w:p>
    <w:p>
      <w:r>
        <w:t>En l'occurrence, ni le besoin, ni les dimensions des installations litigieuses ne sont contestés. Le projet doit venir s'insérer dans une bande de terrain située au nord de la parcelle des recourants, à une trentaine de mètres de la ferme principale de l'intimé. L'arrêt attaqué retient que cette distance est nécessaire pour pouvoir contourner les bâtiments et manoeuvrer avec des machines agricoles dont la longueur peut atteindre 10 à 15 m avec une remorque. Les recourants font remarquer qu'une première variante avait été envisagée avec une distance réduite entre bâtiments. Cette variante n'avait pas pu se concrétiser faute d'accord d'une autre propriétaire voisine, mais cela démontrait qu'un rapprochement des bâtiments était possible. Les recourants perdent de vue que la variante en question (un décalage à l'est de l'étable) était possible en raison de la forme de la parcelle et de la présence d'une bande de terrain pouvant accueillir une partie au moins du bâtiment. Cela ne signifie donc pas que l'écurie pouvait être déplacée en n'importe quel autre endroit de la parcelle de l'intimé. Les recourants évoquent une deuxième variante portant sur un bâtiment en L situé plus à l'est. Celle-ci a toutefois été écartée par la cour cantonale car, de par sa forme et son emprise au sol, elle présentait un impact visuel plus important. Quant à un bâtiment accolé à la construction actuelle, il nécessitait selon l'intimé la construction d'un autre bâtiment pour les machines agricoles. Les recourants et l'ARE relèvent que cette affirmation n'est guère étayée. Il n'en demeure pas moins que l'on ne voit pas, sur le vu des plans au dossier, comment un bâtiment de la taille prévue pourrait être accolé à la ferme existante en respectant les distances aux limites tout en permettant la circulation des véhicules agricoles. En définitive, les recourants ne font que reprendre les différentes variantes envisagées en cours de procédure en estimant qu'elles auraient été écartées à tort. Ils évoquent d'autres possibilités de rapprocher l'étable du bâti existant, sans toutefois démontrer que ces variantes seraient réalisables. Le projet litigieux permet un dégagement suffisant pour les manoeuvres des machines agricoles, et la distance de 30 m, justifiée par les besoins de l'exploitation, peut être considérée comme acceptable au regard des exigences du droit fédéral. Le grief doit par conséquent être écarté.</w:t>
      </w:r>
    </w:p>
    <w:p>
      <w:r>
        <w:rPr>
          <w:b/>
        </w:rPr>
        <w:t>E. 3</w:t>
      </w:r>
    </w:p>
    <w:p>
      <w:r>
        <w:t>Les recourants se plaignent ensuite d'arbitraire dans l'application des dispositions relatives aux distances aux limites. Ils estiment que la SRPA, entourée de murs en béton de 50 cm de hauteur et de barrières de 2 m de hauteur fixées au bâtiment, constituerait une partie saillante de l'étable à laquelle elle est rattachée, de la même manière qu'un balcon. La distance de 6 m à la limite devrait donc s'appliquer.</w:t>
      </w:r>
    </w:p>
    <w:p>
      <w:r>
        <w:rPr>
          <w:b/>
        </w:rPr>
        <w:t>E. 3.1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préférable - paraît possible ( ATF 141 I 172 consid. 4.3.1 p. 177; 137 I 1 consid. 2.4 p. 5). En outre, il ne suffit pas que les motifs de la décision critiquée soient insoutenables; encore faut-il que cette dernière soit arbitraire dans son résultat ( ATF 141 I 49 consid. 3.4 p. 53 et les arrêts cités).</w:t>
      </w:r>
    </w:p>
    <w:p>
      <w:r>
        <w:rPr>
          <w:b/>
        </w:rPr>
        <w:t>E. 3.2</w:t>
      </w:r>
    </w:p>
    <w:p>
      <w:r>
        <w:t>Selon l'art. 20 du décret concernant le règlement-norme sur les constructions (RS/JU 701.31), applicable en vertu de l'art. 47 de la loi cantonale sur les constructions et l'aménagement du territoire, la distance à la limite, pour les constructions non contiguës est de 3 m et de 6 m pour le côté le plus long exposé au soleil (al. 1). Pour les constructions à un niveau, édifiées en annexe ou en contiguïté et qui ne sont pas destinées au séjour permanent d'hommes ou d'animaux, il suffit d'observer, sur tous les côtés, une distance à la limite de 2 m, pour autant que la hauteur moyenne de ces ouvrages ne dépasse pas 4 m et que la superficie de leur plancher ne soit pas supérieure à 60 m² (al. 3). Les parties de construction saillantes et ouvertes, telles qu'avant-toits, perrons, balcons, peuvent empiéter sur la distance à la limite, mais de 1 m 20 au maximum à compter du mur extérieur.</w:t>
      </w:r>
    </w:p>
    <w:p>
      <w:r>
        <w:rPr>
          <w:b/>
        </w:rPr>
        <w:t>E. 3.3</w:t>
      </w:r>
    </w:p>
    <w:p>
      <w:r>
        <w:t>Les recourants ne contestent pas qu'aucune disposition cantonale ou communale sur les distances aux limites ne règle le cas spécifique d'une SRPA. En l'occurrence, la surface en question, située au-dessus de la partie extérieure de la fosse à purin, est constituée de caillebotis posés au niveau du sol. Il ne s'agit pas d'un prolongement de la dalle du bâtiment mais d'un aménagement extérieur. Le simple fait que les barrières et le socle sont rattachés au bâtiment ne fait pas de cette installation, située de plain-pied, une partie intégrante saillante et ouverte comme un avant-toit, un perron ou un balcon. L'arrêt attaqué n'est donc entaché d'aucun arbitraire sur ce point.</w:t>
      </w:r>
    </w:p>
    <w:p>
      <w:r>
        <w:rPr>
          <w:b/>
        </w:rPr>
        <w:t>E. 4</w:t>
      </w:r>
    </w:p>
    <w:p>
      <w:r>
        <w:t>Sur le vu de ce qui précède, le recours est rejeté. Conformément aux art. 66 al. 1 et 68 al. 2 LTF, les frais judiciaires sont mis à la charge des recourants, de même que l'indemnité de dépens allouée à l'intimé C.________, qui a procédé avec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