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746/2021 vom 18. März 2022</w:t>
      </w:r>
    </w:p>
    <w:p>
      <w:r>
        <w:t>Bundesgericht, 2022-03-18, DE</w:t>
      </w:r>
    </w:p>
    <w:p>
      <w:r>
        <w:rPr>
          <w:b/>
        </w:rPr>
        <w:t xml:space="preserve">Quelle: </w:t>
      </w:r>
      <w:r>
        <w:t>https://mcp.opencaselaw.ch/entscheid/bger_1C_746_2021</w:t>
      </w:r>
    </w:p>
    <w:p>
      <w:r>
        <w:t>FR: TF 1C 746/2021 du 18 mars 2022</w:t>
      </w:r>
    </w:p>
    <w:p>
      <w:r>
        <w:t>IT: TF 1C 746/2021 del 18 marzo 2022</w:t>
      </w:r>
    </w:p>
    <w:p>
      <w:pPr>
        <w:pStyle w:val="Heading2"/>
      </w:pPr>
      <w:r>
        <w:t>Regeste</w:t>
      </w:r>
    </w:p>
    <w:p>
      <w:r>
        <w:t>Ermächtigungsverfahren | Strafprozess</w:t>
      </w:r>
    </w:p>
    <w:p>
      <w:pPr>
        <w:pStyle w:val="Heading2"/>
      </w:pPr>
      <w:r>
        <w:t>Erwägungen</w:t>
      </w:r>
    </w:p>
    <w:p>
      <w:r>
        <w:rPr>
          <w:b/>
        </w:rPr>
        <w:t>E. 1.1</w:t>
      </w:r>
    </w:p>
    <w:p>
      <w:r>
        <w:t>Gegen den angefochtenen Entscheid über die Verweigerung der Ermächtigung zur Strafuntersuchung steht die Beschwerde in öffentlich-rechtlichen Angelegenheiten an das Bundesgericht offen ( BGE 137 IV 269 E. 1.3.1 S. 272). Die Beschwerdegegner gehören nicht den obersten kantonalen Vollziehungs- und Gerichtsbehörden an, weshalb der Ausschlussgrund von Art. 83 lit. e BGG nicht zur Anwendung gelangt (vgl. BGE 137 IV 269 E. 1.3.2 S. 272 f.).</w:t>
      </w:r>
    </w:p>
    <w:p>
      <w:r>
        <w:rPr>
          <w:b/>
        </w:rPr>
        <w:t>E. 1.2</w:t>
      </w:r>
    </w:p>
    <w:p>
      <w:r>
        <w:t>Nach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Als Vollziehungsbehörden gelten alle Organisationen, die öffentliche Aufgaben wahrnehmen. Der Kanton St. Gallen hat von seiner gesetzlichen Kompetenz Gebrauch gemacht und ein Ermächtigungsverfahren eingeführt (Art. 17 Abs. 2 lit. b des Einführungsgesetzes des Kantons St. Gallen vom 3. August 2010 zur Schweizerischen Straf- und Jugendstrafprozessordnung [EG-StPO]; sGS 962.1; vgl. das Urteil des Bundesgerichts 1C_427/2017 vom 15. Dezember 2017 E. 1.2). Im Ermächtigungsverfahren dürfen, ausser bei obersten Vollziehungs- und Gerichtsbehörden, nur strafrechtliche Gesichtspunkte berücksichtigt werden ( BGE 137 IV 269 E. 2.4 S. 277 f.). Das Ermächtigungserfordernis dient namentlich dem Zweck, Behördenmitglieder und Beamte vor mutwilliger Strafverfolgung zu schützen und damit das reibungslose Funktionieren staatlicher Organe sicherzustellen. Ein Strafverfahren soll daher erst durchgeführt werden können, wenn die Anklagekammer vorher ihre Zustimmung dazu erteilt hat. Gestützt darauf kann die Staatsanwaltschaft danach die Untersuchung eröffnen. Der förmliche Entscheid über die Eröffnung oder die Nichtanhandnahme obliegt kraft ausdrücklicher bundesrechtlicher Regelung ( Art. 309 und 310 StPO ) in jedem Fall der Staatsanwaltschaft ( BGE 137 IV 269 E. 2.3 S. 277).</w:t>
      </w:r>
    </w:p>
    <w:p>
      <w:r>
        <w:rPr>
          <w:b/>
        </w:rPr>
        <w:t>E. 1.3</w:t>
      </w:r>
    </w:p>
    <w:p>
      <w:r>
        <w:t>Soweit die Anklagekammer mit dem angefochtenen Entscheid die Ermächtigung zur Strafverfolgung gegen die angezeigten Personen verweigert hat, fehlt es an einer Prozessvoraussetzung für die Durchführung des Strafverfahrens, womit das Verfahren insofern abgeschlossen ist. Angefochten ist insoweit ein anfechtbarer Endentscheid ( Art. 90 BGG ) einer letzten kantonalen Instanz ( Art. 86 Abs. 1 lit. d BGG ). Der Beschwerdeführer war am kantonalen Verfahren beteiligt und ist zur Erhebung der Beschwerde berechtigt, soweit seine Strafanzeige aufgrund des angefochtenen Entscheids nicht mehr weiter behandelt werden kann ( Art. 89 Abs. 1 BGG ). Gerügt werden kann im bundesgerichtlichen Verfahren, von hier nicht interessierenden weiteren Möglichkeiten abgesehen, die Verletzung von Bundesrecht ( Art. 95 lit. a BGG ).</w:t>
      </w:r>
    </w:p>
    <w:p>
      <w:r>
        <w:rPr>
          <w:b/>
        </w:rPr>
        <w:t>E. 1.4</w:t>
      </w:r>
    </w:p>
    <w:p>
      <w:r>
        <w:t>Streitgegenstand bildet im vorliegenden Verfahren einzig die Frage der Ermächtigung zur Eröffnung der Strafuntersuchung gegen Staatsbedienstete des Kantons St. Gallen. Soweit der Beschwerdeführer auch den Leiter bzw. weitere Mitarbeitende des Amts für Justizvollzug Graubünden einer Straftat bezichtigt, hat die Anklagekammer den Ermächtigungsantrag mangels Zuständigkeit des Kantons St. Gallen nicht an die Hand genommen. Der Beschwerdeführer macht zwar geltend, da der Erfolg der als missbräuchlich beanstandeten Handlungen im Kanton St. Gallen eingetreten sei, müsse auch dort ein Strafverfahren eingeleitet werden. Wie es sich damit verhält, kann aber offenbleiben. Im vorliegenden Verfahren ist einzig über die Ermächtigung zur Einleitung einer Strafuntersuchung gegenüber Staatsbediensteten des Kantons St. Gallen und nicht über die Eröffnung eines Strafverfahrens gegenüber Mitarbeitenden des Amts für Justizvollzug Graubünden zu befinden. Auf den über den Streitgegenstand hinausreichenden Antrag, unmittelbar ein Strafverfahren insbesondere gegen den Leiter des Amts für Justizvollzug Graubünden einzuleiten, kann daher nicht eingetreten werden. Ob ein entsprechender Entscheid separat ergangen ist, ist nicht bekannt, aber auch nicht massgeblich, da dies ohnehin nicht Bestandteil des hier einzig wesentlichen Ermächtigungsverfahrens gewesen wäre.</w:t>
      </w:r>
    </w:p>
    <w:p>
      <w:r>
        <w:rPr>
          <w:b/>
        </w:rPr>
        <w:t>E. 2.1</w:t>
      </w:r>
    </w:p>
    <w:p>
      <w:r>
        <w:t>Nach der Rechtsprechung ist für die Erteilung der Ermächtigung ein Mindestmass an Hinweisen auf strafrechtlich relevantes Verhalten zu verlangen. Da der Entscheid über die Erteilung der Ermächtigung zur Strafuntersuchung demjenigen über die Anhandnahme eines Strafverfahrens bzw. über die Einstellung eines eröffneten Strafverfahrens vorangestellt ist, muss zwar die Ermächtigung bereits bei einer geringeren Wahrscheinlichkeit einer strafrechtlichen Verantwortlichkeit erteilt werden, als sie für die Einstellung eines schon eröffneten Strafverfahrens erforderlich ist. Nicht jeder behördliche Fehler begründet aber die Pflicht zur Erteilung der Ermächtigung zur Strafverfolgung. Vielmehr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(Urteil des Bundesgerichts 1C_420/2020 vom 16. November 2020 E. 2.2 mit Hinweisen).</w:t>
      </w:r>
    </w:p>
    <w:p>
      <w:r>
        <w:rPr>
          <w:b/>
        </w:rPr>
        <w:t>E. 2.2</w:t>
      </w:r>
    </w:p>
    <w:p>
      <w:r>
        <w:t>Der Beschwerdeführer wirft den angezeigten Personen im Wesentlichen Amtsmissbrauch, ungetreue Amtsführung und Freiheitsberaubung vor. Nach Art. 312 StGB machen sich Mitglieder einer Behörde oder Beamte strafbar, die ihre Amtsgewalt missbrauchen, um sich oder einem andern einen unrechtmässigen Vorteil zu verschaffen oder einem andern einen Nachteil zuzufügen. Kennzeichnend ist dabei die unrechtmässige Anwendung der dem Täter verliehenen staatlichen Machtbefugnisse (vgl. das Urteil des Bundesgerichts 1C_313/2012 vom 9. November 2012 E. 3.1 mit Verweis auf BGE 114 IV 41 ). Eine ungetreue Amtsführung gemäss Art. 314 StGB begeht, wer als Mitglied einer Behörde oder als Beamter bei einem Rechtsgeschäft die von ihm zu wahrenden öffentlichen Interessen schädigt, um sich oder einem anderen einen unrechtmässigen Vorteil zu verschaffen. Ein von den Behörden angeordneter Freiheitsentzug kann allenfalls dann als Freiheitsberaubung nach Art. 183 StGB strafrechtlich von Belang sein, wenn er als solcher unzulässig ist. Nach Art. 31 Abs. 1 BV darf einer Person die Freiheit nur in den vom Gesetz selbst vorgesehenen Fällen und nur auf die im Gesetz vorgeschriebene Weise entzogen werden. Der Entzug darf nicht willkürlich, d.h. insbesondere grundlos bzw. aus sachfremden Gründen, erfolgen ( Art. 9 BV ) und muss als Eingriff in die persönliche Freiheit nach Art. 10 BV im öffentlichen Interesse liegen und verhältnismässig sein ( Art. 36 Abs. 2 und 3 BV ; vgl. dazu das Urteil des Bundesgerichts 1C_355/2018 vom 14. November 2018 E. 4).</w:t>
      </w:r>
    </w:p>
    <w:p>
      <w:r>
        <w:rPr>
          <w:b/>
        </w:rPr>
        <w:t>E. 2.3</w:t>
      </w:r>
    </w:p>
    <w:p>
      <w:r>
        <w:t>Der Beschwerdeführer äussert eine Vielzahl von Vorhalten gegenüber den angezeigten Personen. Soweit sich etliche dieser Vorwürfe gegen Mitarbeitende des Amts für Justizvollzug Graubünden richten, verlässt der Beschwerdeführer jedoch, wie bereits dargelegt (vgl. vorne E. 1.4), den Streitgegenstand.</w:t>
      </w:r>
    </w:p>
    <w:p>
      <w:r>
        <w:rPr>
          <w:b/>
        </w:rPr>
        <w:t>E. 2.4</w:t>
      </w:r>
    </w:p>
    <w:p>
      <w:r>
        <w:t>Im Übrigen stehen die meisten erhobenen Vorwürfe im Zusammenhang mit den damals in der Strafanstalt Saxerriet geltenden Schutzmassnahmen wegen der Covid-19-Pandemie. Insbesondere betrifft dies die Anordnung einer zehntägigen Quarantäne nach der Verlegung des Beschwerdeführers in diese Strafanstalt im Kanton St. Gallen. Nach der Darstellung des Beschwerdeführers habe die Quarantäne namentlich dazu geführt, dass er während zehn Tagen isoliert und während 23 Stunden pro Tag ohne Beschäftigung in seiner Zelle eingesperrt gewesen sei und nicht einmal habe telefonieren und duschen dürfen. Das laufe auf Folter und jedenfalls eine Verletzung der Menschenrechte hinaus. Der Beschwerdeführer verweist auf ein nicht näher bezeichnetes Urteil des Verwaltungsgerichts des Kantons Zürich, wonach Quarantäne der Einzelhaft gleichzusetzen sei und nicht auf blossen Verdacht angeordnet werden dürfe, weshalb es unzulässig sei, einen Gefängnisinsassen nach jedem Hafturlaub zehn Tage in Quarantäne zu versetzen. Grundsätzlich ist es nicht zu beanstanden, dass die Gefängnisleitung die Gefahr einer Ansteckung von Häftlingen weitestmöglich beschränken wollte, was durchaus auch der Fürsorgepflicht der Anstaltsführung gegenüber den Insassen und dem Gefängnispersonal entspricht. Wohl trifft dabei zu, dass die Schutzmassnahmen gegen die Pandemie, wie jedes staatliche Vorgehen, den Grundsatz der Verhältnismässigkeit zu beachten haben, hier freilich unter Berücksichtigung der besonderen für eine Strafanstalt geltenden Verhältnisse. Der Beschwerdeführer behauptet nicht, wiederholt in Quarantäne gesetzt worden zu sein; er bezieht sich einzig auf die einmalige Verlegung in die Strafanstalt Saxerriet. Dabei mögen einzelne Bedingungen des Quarantänevollzugs wie der angebliche Ausschluss des Telefonierens oder Duschens während der Quarantänezeit diskutabel erscheinen. Insgesamt ist jedoch auf Seiten des Anstaltspersonals kein Missbrauch der Amtsgewalt ersichtlich, um sich oder einem andern einen unrechtmässigen Vorteil zu verschaffen oder dem Beschwerdeführer einen Nachteil zuzufügen, oder eine die öffentlichen Interessen missachtende ungetreue Amtsführung. Die einmalige zusätzliche Freiheitsbeschränkung während der zehntägigen Quarantäne im Strafvollzug führte zwar zweifellos vorübergehend zu einer Verschärfung der Haftbedingungen, stellte aber aufgrund der besonderen Pandemiesituation auch keinen rechtswidrigen Freiheitsentzug bzw. eine strafrechtlich massgebliche Freiheitsberaubung dar.</w:t>
      </w:r>
    </w:p>
    <w:p>
      <w:r>
        <w:rPr>
          <w:b/>
        </w:rPr>
        <w:t>E. 2.5</w:t>
      </w:r>
    </w:p>
    <w:p>
      <w:r>
        <w:t>Inwiefern sodann das Kuhglockengeläut neben der Strafanstalt Straftatbestände erfüllen sollte, die den angezeigten Personen anzulasten wären, ist von vornherein nicht ersichtlich und wird vom Beschwerdeführer auch nicht nachvollziehbar dargetan.</w:t>
      </w:r>
    </w:p>
    <w:p>
      <w:r>
        <w:rPr>
          <w:b/>
        </w:rPr>
        <w:t>E. 2.6</w:t>
      </w:r>
    </w:p>
    <w:p>
      <w:r>
        <w:t>Was der Beschwerdeführer schliesslich sonst noch vorbringt, genügt ebenfalls nicht für ausreichende Anhaltspunkte für einen Straftatbestand auf Seiten der Beschwerdegegner. Es verstösst daher nicht gegen Bundesrecht, die Ermächtigung zur Einleitung einer Strafuntersuchung gegenüber den vom Beschwerdeführer angezeigten Personen nicht zu erteilen.</w:t>
      </w:r>
    </w:p>
    <w:p>
      <w:r>
        <w:rPr>
          <w:b/>
        </w:rPr>
        <w:t>E. 3</w:t>
      </w:r>
    </w:p>
    <w:p>
      <w:r>
        <w:t>Die Beschwerde erweist sich als unbegründet und ist abzuweisen, soweit darauf eingetreten werden kann. Bei diesem Verfahrensausgang würde der unterliegende Beschwerdeführer kostenpflichtig (vgl. Art. 66 Abs. 1 erster BGG). Aufgrund der besonderen Umstände des vorliegenden Falles rechtfertigt es sich jedoch, ausnahmsweise von der Erhebung von Gerichtskosten abzusehen (vgl. Art. 66 Abs. 1 zweiter Satz BGG). Eine Parteientschädigung ist nicht zuzusprechen, zumal der Beschwerdeführer nicht anwaltlich vertreten ist (vgl. Art. 64 und 68 BGG ). Über das Gesuch um unentgeltliche Prozessführung braucht damit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