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1C_73/2019 vom 14. Juni 2019</w:t>
      </w:r>
    </w:p>
    <w:p>
      <w:r>
        <w:t>Bundesgericht, 2019-06-14, FR</w:t>
      </w:r>
    </w:p>
    <w:p>
      <w:r>
        <w:rPr>
          <w:b/>
        </w:rPr>
        <w:t xml:space="preserve">Quelle: </w:t>
      </w:r>
      <w:r>
        <w:t>https://mcp.opencaselaw.ch/entscheid/bger_1C_73_2019</w:t>
      </w:r>
    </w:p>
    <w:p>
      <w:r>
        <w:t>FR: TF 1C_73/2019 du 14 juin 2019</w:t>
      </w:r>
    </w:p>
    <w:p>
      <w:r>
        <w:t>IT: TF 1C_73/2019 del 14 giugno 2019</w:t>
      </w:r>
    </w:p>
    <w:p>
      <w:pPr>
        <w:pStyle w:val="Heading2"/>
      </w:pPr>
      <w:r>
        <w:t>Erwägungen</w:t>
      </w:r>
    </w:p>
    <w:p>
      <w:r>
        <w:rPr>
          <w:b/>
        </w:rPr>
        <w:t>E. 1</w:t>
      </w:r>
    </w:p>
    <w:p>
      <w:r>
        <w:t>Conformément aux art. 82 let. a et 92 al. 1 LTF , les décisions incidentes de dernière instance cantonale portant sur une demande de récusation d'un expert dans une cause de droit public - non visée par les exceptions mentionnées à l' art. 83 LTF - peuvent immédiatement faire l'objet d'un recours en matière de droit public. Les recourants, auteurs de la demande de récusation qui a été écartée, ont qualité pour recourir selon l' art. 89 al. 1 LTF .</w:t>
      </w:r>
    </w:p>
    <w:p>
      <w:r>
        <w:t>Pour le surplus, le recours a été déposé en temps utile et les conclusions qui y sont prises sont recevables ( art. 107 al. 2 LTF ). Il y a donc lieu d'entrer en matière sur le recours en matière de droit public, ce qui entraîne l'irrecevabilité du recours constitutionnel subsidiaire ( art. 113 LTF ).</w:t>
      </w:r>
    </w:p>
    <w:p>
      <w:r>
        <w:rPr>
          <w:b/>
        </w:rPr>
        <w:t>E. 2</w:t>
      </w:r>
    </w:p>
    <w:p>
      <w:r>
        <w:t>Se plaignant de constatation manifestement inexacte des faits, les recourants relèvent que les experts désignés sont non seulement E.________, mais aussi la société F.________ SA. Le premier avait effectué de 2012 à 2017 trois mandats pour C.________; la seconde, durant la même période, avait eu trois mandats avec le bureau C.________ et deux pour les sociétés D.x.________ SA et D.y.________ SA. En outre, trois mandats auraient encore été confiés à F.________ SA par C.________ depuis le mois de février 2018, ce qui ferait au total onze mandats en l'espace de six ans, et non seulement trois comme l'a retenu la cour cantonale. En écartant les moyens de preuve présentés à ce sujet par les recourants, la cour cantonale aurait fait preuve d'arbitraire. Elle aurait également écarté à tort l'argument tiré du rapport de concurrence entre les recourants et l'expert, dès lors que ceux-ci sont effectivement en concurrence sur un projet concret de construction.</w:t>
      </w:r>
    </w:p>
    <w:p>
      <w:r>
        <w:rPr>
          <w:b/>
        </w:rPr>
        <w:t>E. 2.1</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soit pour l'essentiel de façon arbitraire au sens de l' art. 9 Cst. L'appréciation des preuves est arbitraire ou manifestement inexacte au sens de l' art. 97 al. 1 LTF lorsqu'elle est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Pour qu'une partie puisse demander une rectification de l'état de fait cantonal, il faut encore que celle-ci soit susceptible d'influer sur le sort de la cause ( art. 97 al. 1 LTF ; ATF 142 I 135 consid. 1.6 p. 144 s.).</w:t>
      </w:r>
    </w:p>
    <w:p>
      <w:r>
        <w:rPr>
          <w:b/>
        </w:rPr>
        <w:t>E. 2.2</w:t>
      </w:r>
    </w:p>
    <w:p>
      <w:r>
        <w:t>Après la vision locale du 27 juin 2018 durant laquelle les parties ont été informées de la désignation des experts, les recourants ont requis, le 9 juillet 2018, que l'expert déclare ses liens avec les parties. La Préfecture de la Broye a donné suite à cette demande et F.________ SA, par E.________, a fourni le 31 juillet 2018 une liste des mandats qu'elle avait eus avec les différents bureaux des intimés. Il en ressort neuf mandats avec le bureau C.________ (plus deux offres non retenues) et deux mandats avec D.x.________, respectivement D.y.________ (plus deux offres non retenues), entre avril 2012 et mars 2018. On ne voit dès lors pas ce qui permettait au Préfet, puis à l'instance cantonale - en dépit des indications figurant dans le recours cantonal, avec référence à la pièce en question -, de retenir que l'expert n'avait eu qu'à trois reprises des relations de mandat avec les intimés ou leurs sociétés. Il est vrai que l'expert E.________ a travaillé personnellement sur seulement trois de ces mandats, mais celui-ci a été désigné conjointement avec la société F.________ SA, de sorte que l'on ne voit pas pourquoi l'ensemble des mandats passés avec cette société ont été ignorés. Sur ce point - pertinent comme on le verra - l'arrêt attaqué repose sur une constatation manifestement inexacte des faits, qu'il y a lieu de rectifier conformément à l' art. 105 al. 2 LTF .</w:t>
      </w:r>
    </w:p>
    <w:p>
      <w:r>
        <w:rPr>
          <w:b/>
        </w:rPr>
        <w:t>E. 2.3</w:t>
      </w:r>
    </w:p>
    <w:p>
      <w:r>
        <w:t>Sur le fond, l'arrêt attaqué rappelle à juste titre qu'une partie peut demander la récusation d'un expert pour les mêmes motifs que ceux qui peuvent être invoqués à l'encontre des juges, en démontrant de manière objective que l'expert mandaté n'a pas l'indépendance et l'impartialité nécessaires pour accomplir sa tâche ( ATF 133 II 384 consid. 4.1 p. 390; cf. aussi ATF 137 V 210 consid. 1.3.3 p. 227). La récusation d'un expert n'est pas limitée aux cas dans lesquels une prévention effective est établie, car une disposition interne de l'expert ne peut guère être prouvée; il suffit que les circonstances donnent l'apparence de la prévention et fassent redouter une activité partiale ( ATF 139 III 433 consid. 2.1.1 p. 436; 138 IV 142 consid. 2.1 p. 144). Tel peut être le cas lorsqu'il existe des relations d'affaires ou d'amitié étroites entre une partie et l'expert, susceptibles de faire douter de l'impartialité de ce dernier.</w:t>
      </w:r>
    </w:p>
    <w:p>
      <w:r>
        <w:rPr>
          <w:b/>
        </w:rPr>
        <w:t>E. 2.4</w:t>
      </w:r>
    </w:p>
    <w:p>
      <w:r>
        <w:t>On peut certes suivre la cour cantonale lorsqu'elle relève que les parties sont actives dans le canton de Fribourg dans les domaines de l'environnement, de la géologie et de l'ingénierie, et ont nécessairement un rapport de concurrence ou de collaboration avec l'ensemble des experts potentiels dans le même canton. En l'occurrence toutefois, les experts (soit F.________ SA et E.________) et les intimés on eu des relations de mandat non pas à trois reprises, mais onze fois entre 2012 et 2018. Même si l'on ignore la nature et l'importance de ces mandats, leur fréquence démontre l'existence de relations d'affaires régulières susceptibles de fonder à tout le moins une apparence de prévention. Le grief doit par conséquent lui aussi être admis.</w:t>
      </w:r>
    </w:p>
    <w:p>
      <w:r>
        <w:rPr>
          <w:b/>
        </w:rPr>
        <w:t>E. 3</w:t>
      </w:r>
    </w:p>
    <w:p>
      <w:r>
        <w:t>Sur le vu de ce qui précède, le recours constitutionnel subsidiaire est irrecevable, et le recours en matière de droit public est admis. L'arrêt attaqué est annulé, de même que la décision préfectorale du 25 septembre 2018. La cause est renvoyée à la Préfecture de la Broye (art. 107 al. 2 in fine LTF) pour désignation d'un nouvel expert, le cas échéant en dehors du canton de Fribourg. Conformément aux art. 67 et 68 al. 5 LTF , le Tribunal fédéral peut statuer sur les frais et dépens de l'instance cantonale en fonction de l'issue de la cause. En l'occurrence, les intimés n'ont pas pris de conclusions quant à la nomination de l'expert; ils n'ont procédé ni devant le Tribunal cantonal, ni devant le Tribunal fédéral. Il n'y a donc pas lieu de mettre à leur charge les frais et dépens pour les procédures fédérales et cantonales. Dès lors, il ne sera pas perçu de frais judiciaires et les dépens, arrêtés à 3'000 fr. pour les procédures cantonale et fédérale, seront mis à titre exceptionnel à la charge du canton de Fribourg (art. 66 al. 3 et 4 et 68 al. 2 et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