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73/2018 vom 7. Januar 2019</w:t>
      </w:r>
    </w:p>
    <w:p>
      <w:r>
        <w:t>Bundesgericht, 2019-01-07, FR</w:t>
      </w:r>
    </w:p>
    <w:p>
      <w:r>
        <w:rPr>
          <w:b/>
        </w:rPr>
        <w:t xml:space="preserve">Quelle: </w:t>
      </w:r>
      <w:r>
        <w:t>https://mcp.opencaselaw.ch/entscheid/bger_1C_73_2018</w:t>
      </w:r>
    </w:p>
    <w:p>
      <w:r>
        <w:t>FR: TF 1C 73/2018 du 7 janvier 2019</w:t>
      </w:r>
    </w:p>
    <w:p>
      <w:r>
        <w:t>IT: TF 1C 73/2018 del 7 gennaio 2019</w:t>
      </w:r>
    </w:p>
    <w:p>
      <w:pPr>
        <w:pStyle w:val="Heading2"/>
      </w:pPr>
      <w:r>
        <w:t>Regeste</w:t>
      </w:r>
    </w:p>
    <w:p>
      <w:r>
        <w:t>autorisation de construire; résidences secondaires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et la qualité pour agir de la recourante ( art. 89 al. 1 LTF ) n'est pas contestable ( ATF 139 II 271 ).</w:t>
      </w:r>
    </w:p>
    <w:p>
      <w:r>
        <w:rPr>
          <w:b/>
        </w:rPr>
        <w:t>E. 2</w:t>
      </w:r>
    </w:p>
    <w:p>
      <w:r>
        <w:t>La recourante critique le choix du secteur de référence pour l'évaluation de la demande de résidences principales. Elle estime que, conformément à l' art. 75b Cst. , cette évaluation devrait se faire à l'échelle de la commune (en l'occurrence Crans-Montana depuis la fusion au 1er janvier 2017 de Chermignon, Montana, Randogne et Mollens). Elle estime ensuite que le nombre de permis accordés depuis 2013 pour des résidences principales (146 logements) ne permettrait pas d'établir l'existence d'une demande suffisante; le fait que dans certains cas les travaux n'ont pas commencé ne permettrait pas de faire abstraction des permis délivrés. Il y aurait aussi lieu de tenir compte de la possibilité que certains propriétaires des nombreuses résidences secondaires situées sur la commune affectent leurs biens en résidences principales afin de satisfaire à la demande.</w:t>
      </w:r>
    </w:p>
    <w:p>
      <w:r>
        <w:rPr>
          <w:b/>
        </w:rPr>
        <w:t>E. 2.1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201 consid. 2.1 p. 208 et les références citées). L' 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 art. 3 al. 1 ORSec prévoit que la servitude à mentionner au registre foncier en vertu de la LRS pour les logements soumis à une restriction d'utilisation doit avoir la teneur suivante: "résidence principale ou logement assimilé à une résidence principale au sens de l' art. 7 al. 1 let. a LRS ".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 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144 II 49 consid. 2.2 p. 52; 142 II 206 consid. 2.4 p. 210).</w:t>
      </w:r>
    </w:p>
    <w:p>
      <w:r>
        <w:rPr>
          <w:b/>
        </w:rPr>
        <w:t>E. 2.3</w:t>
      </w:r>
    </w:p>
    <w:p>
      <w:r>
        <w:t>Comme le relève la cour cantonale, cette dernière notion comporte une part d'indétermination. Il y a lieu de tenir compte des circonstances locales en fonction du marché potentiel pour le bien en question. Contrairement à ce que soutient la recourante, il n'y a pas lieu nécessairement d'étendre le secteur à l'ensemble de la commune; l' art. 75b Cst. prend certes le critère du territoire communal pour établir la proportion de résidences secondaires. Lorsqu'il s'agit d'établir l'existence d'une demande pour un bien particulier selon les critères du marché, l'on peut se fonder sur un secteur plus restreint en particulier lorsqu'une commune présente un territoire étendu ou divers secteurs de caractères différents (plaine/montagne, ville/campagne). Tel est le cas de la commune de Crans-Montana qui s'étend des premières pentes au-dessus de la plaine du Rhône aux stations de montagne de Crans-Montana et d'Aminona. C'est dès lors avec raison que la cour cantonale, à l'instar de l'auteur du rapport du 29 septembre 2017, a retenu comme secteur pertinent la "station touristique" telle que délimitée selon l'art. 3 RQC et son annexe, soit le secteur à bâtir le long des routes de l'Avenire, des Ourzos et des Briesses, le centre des stations d'Aminona et de Crans-Montana (y compris les parties situées sur les communes de Lens et d'Icogne), ainsi que les zones à bâtir de Bluche et une partie de celles qui bordent la route cantonale entre Mollens et Bluche. La recourante ne prétend d'ailleurs pas qu'une évaluation à l'échelle strictement communale aurait abouti à des résultats différents.</w:t>
      </w:r>
    </w:p>
    <w:p>
      <w:r>
        <w:rPr>
          <w:b/>
        </w:rPr>
        <w:t>E. 2.4</w:t>
      </w:r>
    </w:p>
    <w:p>
      <w:r>
        <w:t>Le rapport du 29 septembre 2017 a été établi à la demande de la commune de Crans-Montana, après un arrêt du Tribunal fédéral du 24 octobre 2016 (1C_16/2016) portant sur la réalisation d'un chalet comprenant deux logements de haut standing sur l'ancienne commune de Chermignon. Le Tribunal fédéral avait alors considéré que l'existence d'une demande pour ce type de biens n'était pas établie. Les instances cantonales étaient ainsi invitées à déterminer le taux de vacance pour ce type de biens, et à donner des indications sur l'augmentation de la population résidente dans le secteur concerné. Le rapport examine la période du 1er janvier 2013 au mois de juillet 2017. Il fait état d'une augmentation de la population de 3,3%, soit 200 habitants (de 6000 à 6200) au 31 décembre 2016 pour le périmètre de la station touristique. Cette augmentation correspond au pronostic établi dans le cadre de la nouvelle LAT (17% pour les 15 prochaines années). Durant cette période, 18 résidences principales ont été réalisées (9 chalets individuels, 9 logements dans des bâtiments à plusieurs logements), toutes occupées selon l'affectation prévue. Depuis 2013, 146 permis de construire avaient été accordés pour des résidences principales, dont 24 étaient en cours de réalisation (8 chalets destinés à être habités par leur propriétaire, 4 logements pour la location, 12 pour la vente). Sur les 122 autres projets, 22 faisaient l'objet de recours. Le rapport relève que la proportion de résidences principales pour le même périmètre est de 24 % (3'000 sur 12'600 logements). Sur l'ensemble des projets autorisés depuis 2013, les logements en cours de réalisation seraient tous destinés à être occupés par leurs propriétaires. Comme le relève la cour cantonale, il n'y a pas lieu de mettre en doute cette dernière affirmation, dans la mesure où il s'agit d'une condition d'octroi des permis de construire, sujette à vérification. A juste titre, la cour cantonale a tenu compte de l'incertitude relative aux projets autorisés mais non encore commencés. Elle a par ailleurs retenu que si les logements effectivement réalisés durant la période considérée (18) n'étaient pas suffisants pour absorber l'augmentation du nombre d'habitants (200), il était possible que des logements utilisés comme résidences secondaires aient été vendus ou loués à des habitants à l'année, quand bien même le prix de ces biens (d'affectation libre) était nettement supérieur à des résidences principales. Il est vrai que la commune de Crans-Montana (et particulièrement le secteur "station" considéré ici) présente un taux particulièrement élevé de résidences secondaires, situation à laquelle le RQC devait remédier en ce qui concerne les nouvelles constructions ( ATF 135 I 233 consid. 2.6 p. 142). Toutefois, ni la norme constitutionnelle, ni la LRS ne sauraient imposer de tels changements d'affectation s'agissant de logements construits avant leur entrée en vigueur. Les logements créés sous l'ancien droit bénéficient en effet des garanties d'utilisation figurant à l' art. 11 LRS , et c'est au droit cantonal qu'il appartient d'apporter d'éventuelles restrictions à cet usage ( art. 12 LRS ).</w:t>
      </w:r>
    </w:p>
    <w:p>
      <w:r>
        <w:rPr>
          <w:b/>
        </w:rPr>
        <w:t>E. 2.5</w:t>
      </w:r>
    </w:p>
    <w:p>
      <w:r>
        <w:t>En dépit des incertitudes liées à ce type d'évaluation, on ne saurait, compte tenu de l'accroissement régulier de la population dans le secteur concerné (la présente cause différant sur ce point de celle jugée dans l' ATF 144 II 49 ) et du nombre de logements construits ou à construire pour la même période, considérer que la demande de résidences principales serait insuffisante au point de remettre en cause l'affectation du projet litigieux. La typologie (des logements de quatre pièces et moins) l'agencement et le prix des logements correspondent, selon les constatations non contestées du Conseil d'Etat, à une affectation en résidence principale. Le quartier est accessible facilement depuis la plaine du Rhône (10 km, 15 min. en voiture). Il se situe à 700 m à pied de Chermignon d'En-Haut, village dédié essentiellement à la résidence principale et où se trouvent les commodités. On ne peut dans ces conditions considérer qu'il y a abus de droit manifeste. Ce premier grief doit être écarté.</w:t>
      </w:r>
    </w:p>
    <w:p>
      <w:r>
        <w:rPr>
          <w:b/>
        </w:rPr>
        <w:t>E. 3</w:t>
      </w:r>
    </w:p>
    <w:p>
      <w:r>
        <w:t>La recourante soutient ensuite qu'il y aurait lieu d'effectuer un contrôle préjudiciel du PAZ homologué le 30 avril 2014 en tenant compte de l'entrée en vigueur de l' art. 15 al. 2 LAT . Elle estime que la localisation de la parcelle en marge d'un quartier relativement peu bâti, loin du centre, constituerait une circonstance propre selon la jurisprudence à justifier un tel contrôle préjudiciel.</w:t>
      </w:r>
    </w:p>
    <w:p>
      <w:r>
        <w:rPr>
          <w:b/>
        </w:rPr>
        <w:t>E. 3.1</w:t>
      </w:r>
    </w:p>
    <w:p>
      <w:r>
        <w:t>Selon la jurisprudence, le contrôle incident d'un plan d'affectation dans le cadre d'une procédure relative à un acte d'application est possible, à titre exceptionnel, lorsque les conditions d'un réexamen des plans au sens notamment de l' art. 21 al. 2 LAT sont réunies, soit lorsque les circonstances se sont sensiblement modifiées. La réduction de zones surdimensionnées relève d'un intérêt public important (cf. ATF 128 I 190 consid. 4.2 p. 198 s. et la référence à l' ATF 120 Ia 227 consid. 2c p. 233) susceptible d'avoir, sur le principe, le pas sur l'intérêt public à la stabilité des plans ainsi que sur les intérêts privés des propriétaires concernés.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En effet, le régime transitoire de l' art. 38a al. 2 LAT ne prohibe pas la mise en oeuvre de planifications d'affectation existantes conformes à la LAT, ni ne préjuge des parcelles qui seront concernées par le redimensionnement de la zone à bâtir; ce choix relève dans une large mesure du pouvoir d'appréciation des autorités locales de planification. Dès lors, pour que l'entrée en vigueur de la novelle du 15 juin 2012 puisse justifier un contrôle préjudiciel de la planification, il faut que s'y ajoutent d'autres circonstances, notamment la localisation de la parcelle par rapport à la zone à bâtir existante, le niveau d'équipement de la parcelle et la date d'entrée en vigueur du plan d'affectation ( ATF 144 II 41 consid. 5.2 p. 45 s. et la jurisprudence citée).</w:t>
      </w:r>
    </w:p>
    <w:p>
      <w:r>
        <w:rPr>
          <w:b/>
        </w:rPr>
        <w:t>E. 3.2</w:t>
      </w:r>
    </w:p>
    <w:p>
      <w:r>
        <w:t>En l'occurrence, l'arrêt attaqué retient que le secteur où doit prendre place le projet est partiellement bâti, que la parcelle est équipée et située au bord d'une route. La recourante se contente d'évoquer l'obligation de redimensionner la zone à bâtir. Elle relève certes que le secteur en question est "relativement peu bâti" et éloigné du centre, mais cela ne suffit pas pour admettre qu'une exclusion de la zone à bâtir s'imposerait d'emblée.</w:t>
      </w:r>
    </w:p>
    <w:p>
      <w:r>
        <w:rPr>
          <w:b/>
        </w:rPr>
        <w:t>E. 4</w:t>
      </w:r>
    </w:p>
    <w:p>
      <w:r>
        <w:t>Sur le vu de ce qui précède, le recours est rejeté. Conformément aux art. 66 al. 1 LTF , les frais judiciaires sont mis à la charge de la recourante qui succombe. Il n'est alloué de dépens ni aux constructeurs, qui n'ont pas procédé avec l'aide d'un mandataire professionnel, ni à la commune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