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1C_732/2021 vom 25. Januar 2022</w:t>
      </w:r>
    </w:p>
    <w:p>
      <w:r>
        <w:t>Bundesgericht, 2022-01-25, DE</w:t>
      </w:r>
    </w:p>
    <w:p>
      <w:r>
        <w:rPr>
          <w:b/>
        </w:rPr>
        <w:t xml:space="preserve">Quelle: </w:t>
      </w:r>
      <w:r>
        <w:t>https://mcp.opencaselaw.ch/entscheid/bger_1C_732_2021</w:t>
      </w:r>
    </w:p>
    <w:p>
      <w:r>
        <w:t>FR: TF 1C_732/2021 du 25 janvier 2022</w:t>
      </w:r>
    </w:p>
    <w:p>
      <w:r>
        <w:t>IT: TF 1C_732/2021 del 25 gennaio 2022</w:t>
      </w:r>
    </w:p>
    <w:p>
      <w:pPr>
        <w:pStyle w:val="Heading2"/>
      </w:pPr>
      <w:r>
        <w:t>Erwägungen</w:t>
      </w:r>
    </w:p>
    <w:p>
      <w:r>
        <w:rPr>
          <w:b/>
        </w:rPr>
        <w:t>E. 1.1</w:t>
      </w:r>
    </w:p>
    <w:p>
      <w:r>
        <w:t>Gegen unmittelbare Vorinstanzen des Bundesgerichts kann nach Art. 94 BGG Beschwerde wegen unrechtmässiger Verweigerung oder Verzögerung eines anfechtbaren Entscheids erhoben werden. Das vor dem Verwaltungsgericht hängige Beschwerdeverfahren würde grundsätzlich zu einem solchen massgeblichen Entscheid führen, weshalb die vom Beschwerdeführer eingereichte Beschwerde zulässig ist.</w:t>
      </w:r>
    </w:p>
    <w:p>
      <w:r>
        <w:rPr>
          <w:b/>
        </w:rPr>
        <w:t>E. 1.2</w:t>
      </w:r>
    </w:p>
    <w:p>
      <w:r>
        <w:t>Der Beschwerdeführer nimmt am vorinstanzlichen Verfahren als Baugesuchsteller, dessen Gesuch abgewiesen wurde, teil. Er ist von der angeblichen Rechtsverweigerung bzw. -verzögerung in schutzwürdigen Interessen betroffen bzw. hat ein nachvollziehbares Interesse an einer raschen Erledigung seines Beschwerdeverfahrens vor dem Verwaltungsgericht. Damit ist er gemäss Art. 89 BGG zur Beschwerde berechtigt.</w:t>
      </w:r>
    </w:p>
    <w:p>
      <w:r>
        <w:rPr>
          <w:b/>
        </w:rPr>
        <w:t>E. 1.3</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140 III 115 E. 2; 133 II 249 E. 1.4.1). Bei der behaupteten Verletzung von Grundrechten gilt eine qualifizierte Rüge- und Substanziierungspflicht ( Art. 106 Abs. 2 BGG ). Das Bundesgericht prüft solche Rügen nur, wenn sie in der Beschwerde vorgebracht und begründet worden sind ( BGE 136 II 304 E. 2.5). Soweit der Beschwerdeführer sich auf andere Verfassungsbestimmungen als Art. 29 BV beruft, legt er nicht ausreichend dar, inwiefern er durch diese gegen eine Rechtsverweigerung oder -verzögerung geschützt sein sollte. Auf die Beschwerde kann daher nur im nachfolgenden Umfang eingetreten werden.</w:t>
      </w:r>
    </w:p>
    <w:p>
      <w:r>
        <w:rPr>
          <w:b/>
        </w:rPr>
        <w:t>E. 2.1</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131 V 407 E. 1.1). Der Anspruch auf Beurteilung innert angemessener Frist bezieht sich ausgehend von den einzelnen Verfahrensabschnitten auf die gesamte Verfahrensdauer ( BGE 135 I 265 E. 4.4; 131 III 334 E. 2.2 und 2.3). Gegen das Rechtsverzögerungsverbot wird verstossen, wenn die Behörden ohne ersichtlichen Grund und ohne ausgleichende Aktivität während längerer Perioden untätig geblieben sind ( BGE 139 I 206 E. 2.1; 124 II 49 E. 3a). Ob in diesem Sinne Art. 29 Abs. 1 BV verletzt ist, prüft das Bundesgericht mit freier Kognition (vgl. BGE 144 II 184 E. 3.1 ; 135 I 6 E. 2.1).</w:t>
      </w:r>
    </w:p>
    <w:p>
      <w:r>
        <w:rPr>
          <w:b/>
        </w:rPr>
        <w:t>E. 2.2</w:t>
      </w:r>
    </w:p>
    <w:p>
      <w:r>
        <w:t>Im vorliegenden Fall liegt dem Verwaltungsgericht ein Rechtsstreit um eine Baubewilligung vor, der nicht dieselbe Dringlichkeit aufweist wie andere Streitfälle, etwa im Bereich des Freiheitsentzugs, bei Ausstandsfragen oder bei Stimmrechtsbeschwerden. Dennoch darf auch die Behandlung eines Baustreits mit Blick auf die in Frage stehenden Interessen nicht übermässig lange dauern. Das Verwaltungsgericht blieb jedoch nicht untätig, sondern führte den erforderlichen Schriftenwechsel ohne Verzug durch. Dieser wurde im August 2021 abgeschlossen. Seither wartet die Beschwerde auf ihre Erledigung. Aufgrund einer vorläufigen summarischen Einschätzung weist der Fall weder ausgeprägte Schwierigkeiten auf noch erscheint er besonders einfach, so dass er sich ohne weiteres rasch erledigen liesse. Der Beschwerdeführer beruft sich unter anderem auf ein anderes verwaltungsgerichtliches Verfahren, das innert vier Monaten abgeschlossen worden sei, legt aber nicht dar, inwiefern die beiden Streitfälle miteinander vergleichbar sein sollten. Das Verwaltungsgericht verwies in seinem Schreiben vom 17. November 2021 an den Beschwerdeführer sinngemäss auf seine Belastung durch andere Fälle und darauf, dass das Rechtsmittel des Beschwerdeführers gemessen an vergleichbaren Fällen grundsätzlich chronologisch behandelt werde. Dabei stellte es ihm in Aussicht, das Verfahren bis zum Frühjahr oder Sommer 2022 zu erledigen. Darauf ist die Vorinstanz grundsätzlich zu behaften. Das Verwaltungsgericht weigert sich demnach nicht, die Beschwerde zu behandeln. Überdies blieb es bisher nicht grundlos untätig. Sofern die Vorinstanz ihr Urteil noch im Frühling dieses Jahres fällt, werden seit dem Abschluss des Schriftenwechels einige Monate verstrichen sein. In einem Verfahren ohne besondere Dringlichkeit kann dies noch nicht als übermässige Verfahrensdauer bezeichnet werden. Eine Rechtsverzögerung ist daher im jetzigen Zeitpunkt zu verneinen.</w:t>
      </w:r>
    </w:p>
    <w:p>
      <w:r>
        <w:rPr>
          <w:b/>
        </w:rPr>
        <w:t>E. 3</w:t>
      </w:r>
    </w:p>
    <w:p>
      <w:r>
        <w:t>Die Beschwerde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