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1C_71/2021 vom 4. Februar 2021</w:t>
      </w:r>
    </w:p>
    <w:p>
      <w:r>
        <w:t>Bundesgericht, 2021-02-04, DE</w:t>
      </w:r>
    </w:p>
    <w:p>
      <w:r>
        <w:rPr>
          <w:b/>
        </w:rPr>
        <w:t xml:space="preserve">Quelle: </w:t>
      </w:r>
      <w:r>
        <w:t>https://mcp.opencaselaw.ch/entscheid/bger_1C_71_2021</w:t>
      </w:r>
    </w:p>
    <w:p>
      <w:r>
        <w:t>FR: TF 1C_71/2021 du 4 février 2021</w:t>
      </w:r>
    </w:p>
    <w:p>
      <w:r>
        <w:t>IT: TF 1C_71/2021 del 4 febbraio 2021</w:t>
      </w:r>
    </w:p>
    <w:p>
      <w:pPr>
        <w:pStyle w:val="Heading2"/>
      </w:pPr>
      <w:r>
        <w:t>Erwägungen</w:t>
      </w:r>
    </w:p>
    <w:p>
      <w:r>
        <w:rPr>
          <w:b/>
        </w:rPr>
        <w:t>E. 1</w:t>
      </w:r>
    </w:p>
    <w:p>
      <w:r>
        <w:t>Das Verwaltungsgericht des Kantons Zürich trat mit Verfügung vom 4. Dezember 2020 auf eine Beschwerde in Sachen Verkehrsanordnung von A.________ nicht ein. Die Beschwerde sei verspätet erhoben worden.</w:t>
      </w:r>
    </w:p>
    <w:p>
      <w:r>
        <w:rPr>
          <w:b/>
        </w:rPr>
        <w:t>E. 2</w:t>
      </w:r>
    </w:p>
    <w:p>
      <w:r>
        <w:t>A.________ ersuchte am 1. Februar 2021 das Bundesgericht um Erstreckung der Beschwerdefrist bis zum 2. Februar 2021. Mit Eingabe vom 1. Februar 2021 (Sendedatum 3. Februar 2021) führt A.________ Beschwerde in öffentlich-rechtlichen Angelegenheiten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des Verwaltungsgerichts, die zum Nichteintreten auf die Beschwerde führte, überhaupt nicht auseinander. Somit vermag er nicht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t>Somit kann offen bleiben, ob die vorliegende Beschwerde rechtzeitig erhoben worden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