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1C_719/2024 vom 14. Oktober 2024</w:t>
      </w:r>
    </w:p>
    <w:p>
      <w:r>
        <w:t>Bundesgericht, 2024-10-14, IT</w:t>
      </w:r>
    </w:p>
    <w:p>
      <w:r>
        <w:rPr>
          <w:b/>
        </w:rPr>
        <w:t xml:space="preserve">Quelle: </w:t>
      </w:r>
      <w:r>
        <w:t>https://mcp.opencaselaw.ch/entscheid/bger_1C_719_2024</w:t>
      </w:r>
    </w:p>
    <w:p>
      <w:r>
        <w:t>FR: TF 1C_719/2024 du 14 octobre 2024</w:t>
      </w:r>
    </w:p>
    <w:p>
      <w:r>
        <w:t>IT: TF 1C_719/2024 del 14 ottobre 2024</w:t>
      </w:r>
    </w:p>
    <w:p>
      <w:pPr>
        <w:pStyle w:val="Heading2"/>
      </w:pPr>
      <w:r>
        <w:t>Erwägungen</w:t>
      </w:r>
    </w:p>
    <w:p>
      <w:r>
        <w:rPr>
          <w:b/>
        </w:rPr>
        <w:t>E. 1.1</w:t>
      </w:r>
    </w:p>
    <w:p>
      <w:r>
        <w:t>Il Tribunale federale vaglia d'ufficio e con pieno potere cognitivo se e in che misura un ricorso può essere esaminato nel merito ( DTF 150 II 346 consid. 1.1).</w:t>
      </w:r>
    </w:p>
    <w:p>
      <w:r>
        <w:rPr>
          <w:b/>
        </w:rPr>
        <w:t>E. 1.2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149 II 337 consid. 2.2; 148 IV 205 consid. 2.6).</w:t>
      </w:r>
    </w:p>
    <w:p>
      <w:r>
        <w:rPr>
          <w:b/>
        </w:rPr>
        <w:t>E. 2.1</w:t>
      </w:r>
    </w:p>
    <w:p>
      <w:r>
        <w:t>Il ricorrente, limitandosi a riproporre una propria versione dei fatti, non si confronta tuttavia del tutto con quella, di massima vincolante per il Tribunale federale, posta a fondamento della decisione impugnata (art. 105 cpv. 1 in relazione con l' art. 97 cpv. 1 LTF ). Egli non tenta infatti di dimostrare perché il diverso accertamento dei fatti effettuato dalla Corte cantonale, esaminando compiutamente tutta la documentazione agli atti, dalla quale risulta che la vittima non è stata ferita, né minacciata se non nella richiesta di non gridare, che non sono state utilizzate armi, che la rapina non è stata particolarmente brutale o molto violenta e che la vittima non ha avuto nessuna conseguenza fisica e che, contrariamente all'assunto ricorsuale, non vi sono state circostanze particolarmente drammatiche, sarebbe addirittura insostenibile e quindi arbitrario ( DTF 150 II 346 consid. 1.6; 149 I 207 consid. 5.5). Né egli sostiene che si sarebbe in presenza di una valutazione arbitraria delle prove ( DTF 150 IV 360 consid. 3.2.1; 148 I 127 consid. 4.3).</w:t>
      </w:r>
    </w:p>
    <w:p>
      <w:r>
        <w:rPr>
          <w:b/>
        </w:rPr>
        <w:t>E. 2.2</w:t>
      </w:r>
    </w:p>
    <w:p>
      <w:r>
        <w:t>La Corte cantonale ha accertato poi che il ricorrente, 34enne al momento dei fatti, non è stato seguito da uno psichiatra o da uno psicologo e ch'egli non ha fatto valere d'essere stato incapace al lavoro. Ne ha concluso che la sua sofferenza, seppur importante, non può essere qualificata di eccezionale. Ha stabilito inoltre ch'egli non ha comprovato alcun nesso causale tra la rapina e i suoi problemi alla vista, verificatesi cinque anni dopo tale evento. Ha quindi ritenuto che non sono adempiuti gli estremi per una riparazione morale quale figlio della vittima, stabilendo inoltre che la sua sofferenza non ha mai raggiunto il valore di una malattia.</w:t>
      </w:r>
    </w:p>
    <w:p>
      <w:r>
        <w:rPr>
          <w:b/>
        </w:rPr>
        <w:t>E. 2.3</w:t>
      </w:r>
    </w:p>
    <w:p>
      <w:r>
        <w:t>Il ricorrente, disattendo il suo obbligo di motivazione ( art. 42 LTF ), non si confronta minimamente con gli argomenti citati.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Egli non tenta neppure di spiegare perché l'istanza precedente avrebbe applicato in maniera non corretta gli art. 22 e 23 della legge federale concernente l'aiuto delle vittime di reati del 23 marzo 2007 (LAV; RS 312.5). Non sostiene nemmeno che la Corte cantonale avrebbe interpretato la relativa giurisprudenza, compiutamente illustrata e sulla quale essa ha fondato la sentenza litigiosa, in maniera errata.</w:t>
      </w:r>
    </w:p>
    <w:p>
      <w:r>
        <w:rPr>
          <w:b/>
        </w:rPr>
        <w:t>E. 3.1</w:t>
      </w:r>
    </w:p>
    <w:p>
      <w:r>
        <w:t>Ne segue che il ricorso, manifestamente inammissibile per carenza di motivazione, non può essere esaminato nel merito e può essere deciso sulla base della procedura semplificata dell' art. 108 cpv. 1 lett. b LTF .</w:t>
      </w:r>
    </w:p>
    <w:p>
      <w:r>
        <w:rPr>
          <w:b/>
        </w:rPr>
        <w:t>E. 3.2</w:t>
      </w:r>
    </w:p>
    <w:p>
      <w:r>
        <w:t>Non si prelevano spese ( art. 30 cpv. 1 LAV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