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1C_717/2024 vom 26. Juni 2024</w:t>
      </w:r>
    </w:p>
    <w:p>
      <w:r>
        <w:t>Bundesgericht, 2024-06-26, IT</w:t>
      </w:r>
    </w:p>
    <w:p>
      <w:r>
        <w:rPr>
          <w:b/>
        </w:rPr>
        <w:t xml:space="preserve">Quelle: </w:t>
      </w:r>
      <w:r>
        <w:t>https://mcp.opencaselaw.ch/entscheid/bger_1C_717_2024</w:t>
      </w:r>
    </w:p>
    <w:p>
      <w:r>
        <w:t>FR: TF 1C_717/2024 du 26 juin 2024</w:t>
      </w:r>
    </w:p>
    <w:p>
      <w:r>
        <w:t>IT: TF 1C_717/2024 del 26 giugno 2024</w:t>
      </w:r>
    </w:p>
    <w:p>
      <w:pPr>
        <w:pStyle w:val="Heading2"/>
      </w:pPr>
      <w:r>
        <w:t>Erwägungen</w:t>
      </w:r>
    </w:p>
    <w:p>
      <w:r>
        <w:rPr>
          <w:b/>
        </w:rPr>
        <w:t>E. 2.1</w:t>
      </w:r>
    </w:p>
    <w:p>
      <w:r>
        <w:t>Ne segue che il ricorso, manifestamente inammissibile per carenza di motivazione, non può essere esaminato nel merito e può essere deciso sulla base della procedura semplificata dell' art. 108 cpv. 1 lett. b LTF .</w:t>
      </w:r>
    </w:p>
    <w:p>
      <w:r>
        <w:rPr>
          <w:b/>
        </w:rPr>
        <w:t>E. 2.2</w:t>
      </w:r>
    </w:p>
    <w:p>
      <w:r>
        <w:t>Non si prelevano spese ( art. 30 cpv. 1 LAV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