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1C_710/2020 vom 18. Januar 2021</w:t>
      </w:r>
    </w:p>
    <w:p>
      <w:r>
        <w:t>Bundesgericht, 2021-01-18, IT</w:t>
      </w:r>
    </w:p>
    <w:p>
      <w:r>
        <w:rPr>
          <w:b/>
        </w:rPr>
        <w:t xml:space="preserve">Quelle: </w:t>
      </w:r>
      <w:r>
        <w:t>https://mcp.opencaselaw.ch/entscheid/bger_1C_710_2020</w:t>
      </w:r>
    </w:p>
    <w:p>
      <w:r>
        <w:t>FR: TF 1C_710/2020 du 18 janvier 2021</w:t>
      </w:r>
    </w:p>
    <w:p>
      <w:r>
        <w:t>IT: TF 1C_710/2020 del 18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dell'avv. Stefania Talarico.</w:t>
      </w:r>
    </w:p>
    <w:p>
      <w:r>
        <w:rPr>
          <w:b/>
        </w:rPr>
        <w:t>E. 3</w:t>
      </w:r>
    </w:p>
    <w:p>
      <w:r>
        <w:t>Comunicazione alla rappresentante del ricorrente, alla Sezione della circolazione, al Consiglio di Stato e al Tribunale amministrativo del Cantone Ticino e, per conoscenza, ad A.________.</w:t>
      </w:r>
    </w:p>
    <w:p>
      <w:r>
        <w:t>Losanna, 18 gennaio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