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70/2012 vom 2. April 2012</w:t>
      </w:r>
    </w:p>
    <w:p>
      <w:r>
        <w:t>Bundesgericht, 2012-04-02, FR</w:t>
      </w:r>
    </w:p>
    <w:p>
      <w:r>
        <w:rPr>
          <w:b/>
        </w:rPr>
        <w:t xml:space="preserve">Quelle: </w:t>
      </w:r>
      <w:r>
        <w:t>https://mcp.opencaselaw.ch/entscheid/bger_1C_70_2012</w:t>
      </w:r>
    </w:p>
    <w:p>
      <w:r>
        <w:t>FR: TF 1C 70/2012 du 2 avril 2012</w:t>
      </w:r>
    </w:p>
    <w:p>
      <w:r>
        <w:t>IT: TF 1C 70/2012 del 2 aprile 2012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des parcelles pour lesquelles un permis de construire a été refusé, elle peut se prévaloir d'un intérêt personnel et digne de protection à l'annulation de l'arrêt attaqué. Elle a dès lors qualité pour agir au sens de l' art. 89 al. 1 LTF . Les autres conditions de recevabilité sont par ailleurs réunies, si bien qu'il y a lieu d'entrer en matière sur le fond.</w:t>
      </w:r>
    </w:p>
    <w:p>
      <w:r>
        <w:rPr>
          <w:b/>
        </w:rPr>
        <w:t>E. 2</w:t>
      </w:r>
    </w:p>
    <w:p>
      <w:r>
        <w:t>Dans un premier moyen, la recourante fait valoir une violation du principe de l'autonomie communale ( art. 50 al. 1 Cst. ), dans la mesure où la cour cantonale se serait substituée à la Municipalité en modifiant la motivation juridique fondant la décision litigieuse. A la suivre, ce procédé violerait également les art. 2 al. 3 et 33 al. 3 let. b LAT. En principe, le recours pour violation de l'autonomie communale ne peut être introduit que par les communes elles-mêmes, les communes bourgeoises, les communes spéciales et les autres collectivités de droit public dotées de compétences particulières comme les Eglises ayant la personnalité juridique de droit public (Auer/Malinverni/ Hottelier, Droit constitutionnel suisse, volume I, 2006, n. 298; Hansjörg Seiler, Gemeinden im schweizerischen Staatsrecht, in: Thürer/Aubert/ Müller (éd.), Droit constitutionnel suisse, 2001, p. 502 n. 41). Il est ainsi fermé aux particuliers comme moyen indépendant; ceux-ci peuvent toutefois soulever le grief de violation de l'autonomie communale à titre auxiliaire, à l'appui d'autres griefs (arrêt 1P.242/2005 consid. 1.4.2; ATF 114 Ia 291 consid. 3a p. 292). Tel est le cas lorsque le particulier allègue qu'une autorité cantonale de recours a interprété de manière arbitraire une disposition réglementaire édictée par une commune en vertu de son autonomie ( ATF 108 Ia 74 consid. 2 p. 76 s.). L'argumentation de la recourante fondée sur la violation de l' art. 50 al. 1 Cst. se confond en réalité avec les autres griefs exposés, à savoir la violation du droit d'être entendu (consid. 3) et l'application arbitraire du droit communal (consid. 4). Il convient dès lors de les traiter pour eux-mêmes, sans examiner la question d'une violation indépendante de l'autonomie communale.</w:t>
      </w:r>
    </w:p>
    <w:p>
      <w:r>
        <w:rPr>
          <w:b/>
        </w:rPr>
        <w:t>E. 3</w:t>
      </w:r>
    </w:p>
    <w:p>
      <w:r>
        <w:t>La recourante reproche à la cour cantonale d'avoir commis un déni de justice formel et d'avoir violé son droit d'être entendue en refusant de statuer sur la problématique de l'art. 77 LATC pour préférer régler le litige sur la base du seul art. 28 RPPA.</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134 I 83 consid. 4.1 p. 88 et les arrêts cités). Dès lors que l'on peut discerner les motifs qui ont guidé la décision de l'autorité, le droit à une décision motivée est respecté (arrêt 2C_23/2009 du 25 mai 2009 consid. 3.1, publié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A suivre la recourante, celle-ci aurait développé à l'encontre de la décision de refus d'autorisation de construire une argumentation fondée sur l'art. 77 LATC, seule norme évoquée par l'autorité de première instance. L'enjeu de la procédure devant la cour cantonale aurait ainsi été de savoir si les conditions d'application de cette disposition étaient réalisées et si, par voie de conséquence, le projet pouvait être bloqué dans l'attente de la réalisation d'une nouvelle planification. Or, comme le relève pertinemment la Municipalité de Vevey, la recourante ne s'est pas limitée à plaider devant la cour cantonale uniquement la question de l'application de l'art. 77 LATC. Elle a au contraire également développé une argumentation détaillée destinée à démontrer que le projet de construction était conforme au plan d'affectation, se référant spécifiquement à l'art. 28 RPPA. Dans ces conditions, la décision attaquée ne consacre aucune violation du droit d'être entendue de la recourante en rapport avec l'argumentation juridique découlant de l'art. 28 RPPA et finalement retenue par la cour cantonale.</w:t>
      </w:r>
    </w:p>
    <w:p>
      <w:r>
        <w:rPr>
          <w:b/>
        </w:rPr>
        <w:t>E. 3.3</w:t>
      </w:r>
    </w:p>
    <w:p>
      <w:r>
        <w:t>Certes, la cour cantonale ne s'est pas prononcée sur les conditions d'application de l'art. 77 LATC, modifiant en cela l'argumentation juridique retenue par l'autorité de première instance. Un tel procédé ne consacre pas un déni de justice formel. A teneur de l'art. 89 al. 1 de la loi sur la procédure administrative du 28 octobre 2008 (LPA/VD; RS/VD 173.36), l'autorité de recours n'est pas liée par les conclusions des parties et elle applique le droit d'office ( art. 41 LPA /VD). Elle peut dès lors également s'écarter des motifs retenus par l'instance inférieure et maintenir la décision attaquée en substituant au fondement - par hypothèse - irrégulier une autre base légale, valable ( ATF 125 V 368 consid. 3 p. 370; arrêt 1P.495/2006 consid. 3.2; Moor/Poltier, Droit administratif, volume II, 3ème édition, 2011, p. 821; Thierry Tanquerel, Manuel de droit administratif, 2011, n. 898). Dans la mesure où la cour cantonale a fondé - à bon droit (cf. consid. 4 infra) - sa décision sur la non-conformité de l'autorisation de construire avec la planification locale (art. 28 RPPA), elle n'avait plus à examiner la question d'une éventuelle modification du plan d'affectation (art. 77 LATC). Cette dernière problématique se trouvait ainsi objectivement dénuée de toute pertinence, de sorte que la cour cantonale pouvait s'abstenir de l'examiner sans consacrer de déni de justice formel. Dans ces conditions, elle pouvait également renoncer à analyser si la Municipalité pouvait ou non refuser de produire le rapport rédigé par Nelly Wenger. Ces griefs de la recourante doivent donc être entièrement rejetés.</w:t>
      </w:r>
    </w:p>
    <w:p>
      <w:r>
        <w:rPr>
          <w:b/>
        </w:rPr>
        <w:t>E. 4</w:t>
      </w:r>
    </w:p>
    <w:p>
      <w:r>
        <w:t>Dans un dernier moyen, la recourante reproche à la cour cantonale d'avoir procédé à une application arbitraire de l'art. 28 RPPA.</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 p. 560).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w:t>
      </w:r>
    </w:p>
    <w:p>
      <w:r>
        <w:rPr>
          <w:b/>
        </w:rPr>
        <w:t>E. 4.2</w:t>
      </w:r>
    </w:p>
    <w:p>
      <w:r>
        <w:t>L'art. 28 RPPA a pour but de réglementer la situation de trois bâtiments (A5, A7 et D5) situés dans le périmètre du plan d'affectation "Les Moulins de la Veveyse". Selon l'alinéa 1 de cette disposition, ces trois bâtiments "doivent être maintenus (et) peuvent être entretenus et réaménagés pour autant que leur volumétrie ne soit pas modifiée". L'alinéa 3 précise, pour le seul bâtiment A5, que "le réaménagement de la halle A5 devra sauvegarder la charpente métallique et l'ensemble mécanique intérieur, et tendre à retrouver le volume et les façades d'origine". La cour cantonale a d'abord constaté que si l'art. 28 al. 3 RPPA visait le maintien de la charpente métallique intérieure et de la machinerie du pont roulant, il ne mentionnait pas expressément la conservation du volume intérieur de la Halle Inox; quant au plan directeur communal, il n'apportait pas non plus de précision au sujet du volume intérieur de ce bâtiment. L'instance précédente a dès lors fondé son interprétation sur la systématique du règlement: alors que la volumétrie extérieure des trois bâtiments A5, A7 et D5 ne doit pas être modifiée, une réglementation spéciale est applicable à la seule Halle Inox, réglementation qui vise le maintien de certains éléments intérieurs; pour cet objet, le législateur communal a voulu garder la trace historique de la fonction industrielle du bâtiment, laquelle doit rester compréhensible et lisible par l'utilisateur; or, le maintien de la charpente métallique et de l'ensemble mécanique, constitué de ponts roulants, n'est possible et n'a de sens que dans la mesure où le volume intérieur est conservé. Le Tribunal cantonal a ajouté que la règle communale ne se limitait pas au maintien de certains tronçons de la machinerie, mais exigeait la conservation de "l'ensemble mécanique intérieur", ce qui implique de conserver les structures du pont roulant sur toute la longueur de la halle. La cour cantonale a conclu de cette interprétation systématique du règlement que les travaux de réaménagements de la Halle Inox doivent tendre au maintien du volume intérieur du bâtiment. En occupant les 4/5èmes du volume de la Halle et en laissant visible uniquement sur un tronçon limité la machinerie des ponts roulants, le projet n'était, de l'avis de la cour cantonale, pas compatible avec l'art. 28 RPPA.</w:t>
      </w:r>
    </w:p>
    <w:p>
      <w:r>
        <w:rPr>
          <w:b/>
        </w:rPr>
        <w:t>E. 4.3</w:t>
      </w:r>
    </w:p>
    <w:p>
      <w:r>
        <w:t>Pour les motifs qui vont suivre, l'argumentation de la recourante n'est pas apte à démontrer que l'interprétation de la disposition de droit communal donnée par la cour cantonale serait arbitraire.</w:t>
      </w:r>
    </w:p>
    <w:p>
      <w:r>
        <w:rPr>
          <w:b/>
        </w:rPr>
        <w:t>E. 4.3.1</w:t>
      </w:r>
    </w:p>
    <w:p>
      <w:r>
        <w:t>La recourante reproche d'abord à l'instance précédente de s'être fondée sur les déclarations du promoteur B.________ dans un journal pour parvenir à une interprétation insoutenable de l'art. 28 RPPA. Dans la décision attaquée, la cour cantonale fait effectivement référence à une publication de la Banque cantonale vaudoise (BCV) du 13 mars 2008, dans laquelle B.________ déclare, au sujet de la Halle Inox, que "(l)e groupe A.________ envisage de conserver ce magnifique bâtiment et de le transformer en site multi-usage pour des expositions, conférences et séminaires". La cour cantonale a certes déduit de cette déclaration une intention d'aménagement du constructeur qui était en concordance avec les objectifs de la commune (consid. 2b de l'arrêt attaqué). Pour parvenir à la conclusion que l'art. 28 al. 3 RPPA visait la protection du volume intérieur du bâtiment, la cour s'est cependant exclusivement fondée sur la systématique du règlement (consid. 2d de l'arrêt attaqué). Dès lors, la référence à la publication de la BCV n'a eu aucune influence sur le travail d'interprétation, ce qui enlève toute consistance au grief d'arbitraire de la recourante.</w:t>
      </w:r>
    </w:p>
    <w:p>
      <w:r>
        <w:rPr>
          <w:b/>
        </w:rPr>
        <w:t>E. 4.3.2</w:t>
      </w:r>
    </w:p>
    <w:p>
      <w:r>
        <w:t>La recourante reproche ensuite aux juges cantonaux d'avoir limité leur approche systématique du règlement au seul art. 28 RPPA, sans tenir compte des art. 3 et 4 RPPA. Or, en autorisant de l'habitat ou de l'hôtellerie dans la Halle Inox, ces dispositions impliqueraient nécessairement que le volume intérieur de ce bâtiment puisse être occupé. Quoiqu'en pense la recourante, l'interprétation relativement restrictive de l'art. 28 al. 3 RPPA ne s'avère pas insoutenable ou en contradiction manifeste avec les affectations autorisées par le règlement dans la Hall Inox. La décision attaquée ne remet pas en cause le principe de telles affectations, mais se limite à définir le degré d'atteinte que peuvent avoir des travaux de réaménagement dans un volume protégé. En tout état, le résultat auquel est parvenue la cour cantonale dans le cas particulier est exempt de tout critique s'agissant d'une occupation des 4/5èmes de l'espace intérieur par des logements avec la préservation de la machinerie des ponts roulants sur un tronçon limité seulement. En considérant qu'un projet comportant une modification d'une telle ampleur du volume intérieur du bâtiment n'était pas conciliable avec le but de protection particulier assigné à la Halle Inox par l'art. 28 al. 3 RPPA, la cour cantonale n'a pas consacré une application du règlement contraire à son but.</w:t>
      </w:r>
    </w:p>
    <w:p>
      <w:r>
        <w:rPr>
          <w:b/>
        </w:rPr>
        <w:t>E. 4.3.3</w:t>
      </w:r>
    </w:p>
    <w:p>
      <w:r>
        <w:t>Enfin, la recourante expose que l'interprétation donnée par la cour cantonale au règlement du plan partiel d'affectation consacrerait une violation de la garantie de la propriété ( art. 26 Cst. ) et une atteinte à sa liberté économique ( art. 27 Cst. ). A la suivre, la marge de manoeuvre qui lui resterait pour construire serait tellement réduite que l'atteinte à son droit de propriétaire serait largement excessive. Là encore, la recourante perd de vue que la décision entreprise ne la prive pas de manière absolue de son droit de procéder, dans le bâtiment dont elle est propriétaire, aux affectations prévues par le règlement. Il ne s'agit donc pas ici, contrairement à la jurisprudence qu'elle cite, d'appliquer les règles déterminantes de planification contrairement à leur texte clair (cf. ATF 114 Ia 209 consid. 2 p. 213). Il n'est pas non plus question, quoiqu'en pense la recourante, d'instituer par le biais de l'art. 28 al. 3 RPPA une mesure de planification nécessitant une adoption formelle. Pour le surplus, la restriction aux droits fondamentaux précités respecte les conditions posées par l' art. 36 Cst. En effet, le règlement incriminé repose sur une base légale cantonale ( art. 17 al. 1 let . c LAT; art. 47 al. 2 ch. 2 LATC en lien avec l'art. 46 de la loi cantonale sur la protection de la nature, des monuments et des sites du 10 décembre 1969 [LPMNS; RSV 450.11]) ( art. 36 al. 1 Cst. ). Il n'est par ailleurs pas contesté que la Halle Inox bénéficie de la note 3 au recensement architectural de la commune et qu'elle doit ainsi être considérée comme étant un objet intéressant au niveau local, impliquant des mesures de sauvegarde particulières (cf. Pierre Moor, Commentaire LAT, n. 59 ad art. 17). Dans ces conditions, le règlement poursuit manifestement un but d'intérêt public ( art. 36 al. 2 Cst. ). Dans la mesure où il n'exclut pas entièrement les affectations prévues par le RPPA, il respecte encore le principe de la proportionnalité ( art. 36 al. 3 Cst. ).</w:t>
      </w:r>
    </w:p>
    <w:p>
      <w:r>
        <w:rPr>
          <w:b/>
        </w:rPr>
        <w:t>E. 4.4</w:t>
      </w:r>
    </w:p>
    <w:p>
      <w:r>
        <w:t>Par conséquent, le grief d'interprétation arbitraire de l'art. 28 RPPA n'est pas fondé et le recours doit également être rejeté sur ce point.</w:t>
      </w:r>
    </w:p>
    <w:p>
      <w:r>
        <w:rPr>
          <w:b/>
        </w:rPr>
        <w:t>E. 5</w:t>
      </w:r>
    </w:p>
    <w:p>
      <w:r>
        <w:t>Il s'ensuit que le recours est rejeté. La recourante, qui succombe, doit supporter les frais de la présente procédure ( art. 66 al. 1 LTF ). Il n'y a pas lieu de prévoir de dépens au bénéfice de la Municipalité de Vevey, celle-ci ayant agi dans l'exercice de ses attributions officielles sans que son intérêt patrimonial soit en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