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709/2013 vom 3. Juli 2014</w:t>
      </w:r>
    </w:p>
    <w:p>
      <w:r>
        <w:t>Bundesgericht, 2014-07-03, FR</w:t>
      </w:r>
    </w:p>
    <w:p>
      <w:r>
        <w:rPr>
          <w:b/>
        </w:rPr>
        <w:t xml:space="preserve">Quelle: </w:t>
      </w:r>
      <w:r>
        <w:t>https://mcp.opencaselaw.ch/entscheid/bger_1C_709_2013</w:t>
      </w:r>
    </w:p>
    <w:p>
      <w:r>
        <w:t>FR: TF 1C 709/2013 du 3 juillet 2014</w:t>
      </w:r>
    </w:p>
    <w:p>
      <w:r>
        <w:t>IT: TF 1C 709/2013 del 3 luglio 2014</w:t>
      </w:r>
    </w:p>
    <w:p>
      <w:pPr>
        <w:pStyle w:val="Heading2"/>
      </w:pPr>
      <w:r>
        <w:t>Regeste</w:t>
      </w:r>
    </w:p>
    <w:p>
      <w:r>
        <w:t>Désaffectation du domaine public | Procédure administrative</w:t>
      </w:r>
    </w:p>
    <w:p>
      <w:pPr>
        <w:pStyle w:val="Heading2"/>
      </w:pPr>
      <w:r>
        <w:t>Erwägungen</w:t>
      </w:r>
    </w:p>
    <w:p>
      <w:r>
        <w:rPr>
          <w:b/>
        </w:rPr>
        <w:t>E. 1.1</w:t>
      </w:r>
    </w:p>
    <w:p>
      <w:r>
        <w:t>Dirigé contre une décision finale ( art. 90 LTF ) prise en dernière instance cantonale ( art. 86 al. 1 let . d LTF) dans une cause de droit public ( art. 82 let. a LTF ), le recours de droit public est en principe recevable, aucune des exceptions prévues à l' art. 83 LTF n'étant réalisée. Le recourant a pris part à la procédure de recours devant la Cour de justice. En tant que copropriétaire du bien-fonds jouxtant la parcelle n° 3'556B visée par la désaffectation et par l'octroi d'un droit de superficie distinct et permanent pour la réalisation d'un immeuble de logement, il est particulièrement touché par l'arrêt attaqué et peut ainsi se prévaloir d'un intérêt digne de protection à son annulation. Il a donc qualité pour agir au sens de l' art. 89 al. 1 LTF . Les autres conditions de recevabilité du recours en matière de droit public sont réunies, si bien qu'il y a lieu d'entrer en matière sur le fond.</w:t>
      </w:r>
    </w:p>
    <w:p>
      <w:r>
        <w:rPr>
          <w:b/>
        </w:rPr>
        <w:t>E. 1.2</w:t>
      </w:r>
    </w:p>
    <w:p>
      <w:r>
        <w:t>Le recourant a joint à son mémoire de recours des pièces ne figurant pas au dossier de la cause. La question de leur recevabilité au regard de l' art. 99 al. 1 LTF peut néanmoins rester indécise puisque la cause doit être renvoyée à la cour cantonale pour nouvelle décision.</w:t>
      </w:r>
    </w:p>
    <w:p>
      <w:r>
        <w:rPr>
          <w:b/>
        </w:rPr>
        <w:t>E. 2</w:t>
      </w:r>
    </w:p>
    <w:p>
      <w:r>
        <w:t>Le recourant soutient que l'arrêt entrepris viole de manière arbitraire son droit d'être entendu et est constitutif d'un déni de justice formel ( art. 9 et 29 al. 1 et 2 Cst. ). Il fait grief à l'instance précédente d'avoir refusé d'examiner ses griefs - formulés sous l'angle de l'inconstitutionnalité (art. 5 al. 1 et 2 et art. 26 Cst. ) - liés à la validité matérielle de la délibération du conseil municipal et de la décision du DIME. Il invoque dans ce contexte une violation de l' art. 29a Cst. (garantie de l'accès au juge).</w:t>
      </w:r>
    </w:p>
    <w:p>
      <w:r>
        <w:rPr>
          <w:b/>
        </w:rPr>
        <w:t>E. 2.1</w:t>
      </w:r>
    </w:p>
    <w:p>
      <w:r>
        <w:t>Avant de procéder à l'examen des griefs du recourant, il convient de constater que, contrairement aux affirmations de la ville de Genève, il apparaît que la décision de désaffectation a d'ores et déjà été prise, malgré ce que peut laisser penser la formulation peu claire de la lettre du Conseil d'Etat du 23 janvier 2013 (cf. lettre du 14 février 2013 de la ville de Genève).</w:t>
      </w:r>
    </w:p>
    <w:p>
      <w:r>
        <w:rPr>
          <w:b/>
        </w:rPr>
        <w:t>E. 2.2</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 et les arrêts cités). Le droit d'être entendu, garanti par l' art. 29 al. 2 Cst. implique en outre pour l'autorité l'obligation de motiver sa décision; elle peut toutefois se limiter aux questions décisives pour l'issue du litige ( ATF 134 I 83 consid. 4.1 p. 88; 133 III 439 consid. 3.3 p. 445; 130 II 530 consid. 4.3 p. 540 et les arrêts cités).</w:t>
      </w:r>
    </w:p>
    <w:p>
      <w:r>
        <w:rPr>
          <w:b/>
        </w:rPr>
        <w:t>E. 2.3</w:t>
      </w:r>
    </w:p>
    <w:p>
      <w:r>
        <w:t>Dans l'arrêt entrepris, la Cour de justice a considéré que, sur le principe, il convenait d'entrer en matière sur les recours de l'intéressé déposés respectivement contre l'autorisation accordée au conseil administratif de convertir en acte authentique le droit de superficie distinct et permanent en faveur de C.________ (délibération 973 du 31 octobre 2012) et contre la décision du DIME du 20 décembre 2012 désaffectant la parcelle n° 3'556B. L'instance précédente a cependant considéré que les griefs du recourant relatifs à d'éventuelles violations de la LCI et du RCI, ainsi que celui tiré de l'empêchement de réaliser ses propres projets devront être invoqués, le cas échéant, dans le cadre de la procédure relative à la demande définitive d'autorisation de construire déposée par C.________. La Cour de justice ajoutait qu'elle ne saurait préjuger du sort de la demande, formée par C.________, qui était actuellement en cours d'instruction auprès du DU. Ce faisant, la cour cantonale ne s'est pas prononcée explicitement sur les griefs d'inconstitutionnalité ( art. 5 et 26 Cst. ) soulevés en procédure cantonale par l'intéressé contre le principe même de la désaffectation. La cour cantonale semble avoir considéré que le recourant s'était borné à critiquer le projet de construction de C.________ (DD 105'142). Or, dans son grief intitulé "la désaffectation de la parcelle DP 3'556B et son incorporation au domaine privé de la Ville de Genève pour former la nouvelle parcelle n° 4'220 violent l' art. 5 Cst. et la garantie de la propriété ( art. 26 Cst. ) ", l'intéressé avait notamment fait valoir que la création de cette parcelle n° 4'220 et son attribution au domaine privé l'empêchaient dorénavant de construire en limite de propriété sur sa parcelle; il ajoutait que plus aucun projet de construction ne pourrait être réalisé sur sa parcelle. Par conséquent, en omettant de se prononcer sur les griefs tirés de la violation des art. 5 et 26 Cst. en lien avec la décision de désaffectation de la parcelle n° 3'556B, la Cour de justice a violé l' art. 29 Cst. Le recours est admis sur ce point. En l'absence d'éléments de faits suffisants dans l'arrêt attaqué pour examiner ces points, le Tribunal fédéral ne peut pas statuer lui-même au sens de l' art. 107 al. 2 LTF et doit renvoyer la cause à l'instance précédente.</w:t>
      </w:r>
    </w:p>
    <w:p>
      <w:r>
        <w:rPr>
          <w:b/>
        </w:rPr>
        <w:t>E. 3</w:t>
      </w:r>
    </w:p>
    <w:p>
      <w:r>
        <w:t>Le considérant qui précède conduit à l'annulation de l'arrêt rendu le    25 juin 2013 et au renvoi de la cause à l'instance précédente pour nouvelle décision dans le sens des considérants. La recourante a droit à des dépens, à la charge du canton de Genève ( art. 68 al. 2 LTF ).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