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1C_708/2017 vom 17. Januar 2018</w:t>
      </w:r>
    </w:p>
    <w:p>
      <w:r>
        <w:t>Bundesgericht, 2018-01-17, DE</w:t>
      </w:r>
    </w:p>
    <w:p>
      <w:r>
        <w:rPr>
          <w:b/>
        </w:rPr>
        <w:t xml:space="preserve">Quelle: </w:t>
      </w:r>
      <w:r>
        <w:t>https://mcp.opencaselaw.ch/entscheid/bger_1C_708_2017</w:t>
      </w:r>
    </w:p>
    <w:p>
      <w:r>
        <w:t>FR: TF 1C_708/2017 du 17 janvier 2018</w:t>
      </w:r>
    </w:p>
    <w:p>
      <w:r>
        <w:t>IT: TF 1C_708/2017 del 17 gennaio 2018</w:t>
      </w:r>
    </w:p>
    <w:p>
      <w:pPr>
        <w:pStyle w:val="Heading2"/>
      </w:pPr>
      <w:r>
        <w:t>Erwägungen</w:t>
      </w:r>
    </w:p>
    <w:p>
      <w:r>
        <w:rPr>
          <w:b/>
        </w:rPr>
        <w:t>E. 1</w:t>
      </w:r>
    </w:p>
    <w:p>
      <w:r>
        <w:t>A.________ geriet am 18. Dezember 2016, um 18:50 Uhr, am Steuer eines Personenwagens in Schaffhausen in eine Verkehrskontrolle. Da die Effekten nach Cannabis rochen, wurde eine Blut- und Urinprobe angeordnet. Er gab gegenüber der Polizei an, wöchentlich rund 10 - 12 Joints zu rauchen und ein bis zweimal pro Jahr ein bis zwei Gramm Kokain und Amphetamine einzunehmen; diese Rauschmittel konsumiere er seit rund 20 Jahren. Die Gutachter des Instituts für Rechtsmedizin des Kantonsspitals St. Gallen kamen aufgrund der gemessenen THC- und THC-COOH-Konzentrationen zum Schluss, A.________ sei am Abend des 18. Dezembers 2016 fahrunfähig gewesen und es bestehe der Verdacht auf einen mehr als gelegentlichen Cannabis-Konsum, weshalb aus verkehrsmedizinischer Sicht eine Fahreignungsabklärung indiziert sei. Gestützt darauf entzog das Strassenverkehrsamt des Kantons Zürich A.________ am 30. März 2017 den Führerausweis vorsorglich und machte das weitere administrativrechtliche Vorgehen vom Ergebnis einer Fahreignungsabklärung abhängig; einem allfälligen Rekurs entzog es die aufschiebende Wirkung.</w:t>
      </w:r>
    </w:p>
    <w:p>
      <w:r>
        <w:t>Am 13. Juli 2017 wies die Sicherheitsdirektion des Kantons Zürich den Rekurs von A.________ gegen diese Entzugsverfügung ab, soweit sie darauf eintrat. Am 14. November 2017 wies das Verwaltungsgericht des Kantons Zürich die Beschwerde von A.________ gegen diesen Rekursentscheid ab, soweit es darauf eintrat.</w:t>
      </w:r>
    </w:p>
    <w:p>
      <w:r>
        <w:t>Mit Einsprache/Beschwerde vom 24. Dezember 2017 beantragt A.________, das Urteil des Verwaltungsgerichts aufzuheben und ihm den Führerausweis wieder zu erteilen. Auf das Einholen von Vernehmlassungen wurde verzichtet.</w:t>
      </w:r>
    </w:p>
    <w:p>
      <w:r>
        <w:rPr>
          <w:b/>
        </w:rPr>
        <w:t>E. 2</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die Abklärung seiner Fahreignung angeordnet. Der angefochtene Entscheid schliesst das Verfahren damit nicht ab; er stellt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 Nach Art. 106 Abs. 2 BGG prüft das Bundesgericht die Verletzung von Grundrechten nur insofern, als eine solche Rüge in der Beschwerde vorgebracht und begründet worden ist ( BGE 133 III 589 E. 2 S. 591 f.; 133 IV 286 E. 1.4). Die übrigen Sachurteilsvoraussetzungen geben zu keinen Bemerkungen Anlass.</w:t>
      </w:r>
    </w:p>
    <w:p>
      <w:r>
        <w:t>Die Beschwerde erschöpft sich im Wesentlichen in weltanschaulichen Betrachtungen zur Präambel und dem 1. Titel der Bundesverfassung sowie in teilweise beleidigenden Unmutsäusserungen gegenüber der schweizerischen Drogenpolitik und den mit seiner Sache befassten Behörden. Sie geht damit an der Sache vorbei. Demgegenüber legt der Beschwerdeführer nicht dar, inwiefern es verfassungswidrig sein sollte, dass ihm der Führerausweis vorsorglich entzogen wurde, nachdem aufgrund seiner Aussagen gegenüber der Polizei, die durch die Auswertung der Blutprobe vom 18. Dezember 2016 gestützt werden, davon auszugehen ist, dass er praktisch täglich ein bis zwei Joints raucht und gelegentlich weitere Rauschmittel konsumiert. Damit steht seine Fahreignung offensichtlich in Frage. Unzulässig ist das Schadenersatzbegehren über 402 Mio. Franken - vor dem Verwaltungsgericht bezifferte er seinen Schaden noch mit Fr. 27'850.- -, da das Bundesgericht nicht zuständig ist, als erste Instanz Schadenersatzforderungen gegen Kantone oder den Bund zu beurteilen. Auf die Beschwerde ist wegen Verletzung der Begründungspflicht im vereinfachten Verfahren nach Art. 108 BGG nicht einzutreten. Es rechtfertigt sich ausnahmsweise, von der Erhebung von Gerichtskosten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