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1C_705/2024 vom 17. Dezember 2024</w:t>
      </w:r>
    </w:p>
    <w:p>
      <w:r>
        <w:t>Bundesgericht, 2024-12-17, FR</w:t>
      </w:r>
    </w:p>
    <w:p>
      <w:r>
        <w:rPr>
          <w:b/>
        </w:rPr>
        <w:t xml:space="preserve">Quelle: </w:t>
      </w:r>
      <w:r>
        <w:t>https://mcp.opencaselaw.ch/entscheid/bger_1C_705_2024</w:t>
      </w:r>
    </w:p>
    <w:p>
      <w:r>
        <w:t>FR: TF 1C_705/2024 du 17 décembre 2024</w:t>
      </w:r>
    </w:p>
    <w:p>
      <w:r>
        <w:t>IT: TF 1C_705/2024 del 17 dicembre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Le Tribunal fédéral dispose d'un large pouvoir d'appréciation pour répondre à la question de savoir s'il s'agit d'un cas particulièrement important ( ATF 145 IV 99 consid. 1.2 et les arrêts cités). 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2</w:t>
      </w:r>
    </w:p>
    <w:p>
      <w:r>
        <w:t>L'arrêt attaqué confirme d'une part le refus du MPC de reconnaître au recourant la qualité de partie à la procédure d'entraide et, d'autre part, déclare irrecevable le recours dirigé contre la décision de clôture. La première condition posée à l' art. 84 al. 1 LTF est ainsi satisfaite.</w:t>
      </w:r>
    </w:p>
    <w:p>
      <w:r>
        <w:rPr>
          <w:b/>
        </w:rPr>
        <w:t>E. 2.1</w:t>
      </w:r>
    </w:p>
    <w:p>
      <w:r>
        <w:t>S'agissant de la seconde, le recourant affirme que les documents produits suffisaient à admettre qu'il était bien l'unique bénéficiaire de la dissolution de la société. La Cour des plaintes a toutefois appliqué la jurisprudence constante relative aux art. 80 h let. b EIMP et 9a let. a OEIMP selon laquelle la qualité pour recourir et pour intervenir dans la procédure d'entraide judiciaire est reconnue exceptionnellement à l'ayant droit d'une société titulaire de compte lorsque celle-ci a été dissoute ( ATF 139 II 404 consid. 2.1.1; 137 IV 134 consid. 5.2.1; 123 II 153 consid. 2c et d et les arrêts cités), pour autant que l'acte de dissolution - ou tout autre document disponible - indique clairement l'ayant droit comme son bénéficiaire (arrêts 1C_44/2022 du 28 janvier 2022 consid. 2.2; 1C_2/2016 du 11 janvier 2016 consid. 2.2; 1C_183/2012 du 12 avril 2012 consid. 1.4; 1C_370/2012 du 3 octobre 2012 consid. 2.7). Les documents produits par le recourant font état de versements en sa faveur, mais pas d'une désignation formelle et expresse en tant que successeur de la société liquidée. L'arrêt attaqué ne consacre ainsi aucune violation du droit fédéral ni aucun déni de justice.</w:t>
      </w:r>
    </w:p>
    <w:p>
      <w:r>
        <w:rPr>
          <w:b/>
        </w:rPr>
        <w:t>E. 2.2</w:t>
      </w:r>
    </w:p>
    <w:p>
      <w:r>
        <w:t>Le recourant invoque par ailleurs son droit d'être entendu, et reproche à la Cour des plaintes de ne pas lui avoir donné l'occasion de se déterminer et d'apporter des preuves supplémentaires. La question de la qualité de partie du recourant constituait toutefois l'objet même de la contestation. Le recourant a ainsi d'emblée pu faire valoir l'ensemble de ses arguments à ce sujet dans son recours; il a en outre produit tous les éléments de preuves à disposition et n'indique pas quels autres éléments déterminants auraient encore pu être invoqués. La Cour des plaintes a statué sans demander de déterminations, de sorte qu'il ne se justifiait pas d'accorder un droit de réplique au recourant. L'existence d'une grave violation du droit d'être entendu n'est dès lors pas démontrée.</w:t>
      </w:r>
    </w:p>
    <w:p>
      <w:r>
        <w:rPr>
          <w:b/>
        </w:rPr>
        <w:t>E. 3</w:t>
      </w:r>
    </w:p>
    <w:p>
      <w:r>
        <w:t>Sur le vu de ce qui précède, la condition posée à l' art. 84 al. 2 LTF n'est pas remplie, ce qui entraîne l'irrecevabilité du recours.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