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1C_702/2020 vom 23. Dezember 2020</w:t>
      </w:r>
    </w:p>
    <w:p>
      <w:r>
        <w:t>Bundesgericht, 2020-12-23, DE</w:t>
      </w:r>
    </w:p>
    <w:p>
      <w:r>
        <w:rPr>
          <w:b/>
        </w:rPr>
        <w:t xml:space="preserve">Quelle: </w:t>
      </w:r>
      <w:r>
        <w:t>https://mcp.opencaselaw.ch/entscheid/bger_1C_702_2020</w:t>
      </w:r>
    </w:p>
    <w:p>
      <w:r>
        <w:t>FR: TF 1C_702/2020 du 23 décembre 2020</w:t>
      </w:r>
    </w:p>
    <w:p>
      <w:r>
        <w:t>IT: TF 1C_702/2020 del 23 dicembre 2020</w:t>
      </w:r>
    </w:p>
    <w:p>
      <w:pPr>
        <w:pStyle w:val="Heading2"/>
      </w:pPr>
      <w:r>
        <w:t>Erwägungen</w:t>
      </w:r>
    </w:p>
    <w:p>
      <w:r>
        <w:rPr>
          <w:b/>
        </w:rPr>
        <w:t>E. 1</w:t>
      </w:r>
    </w:p>
    <w:p>
      <w:r>
        <w:t>Angefochten ist ein kantonal letztinstanzlicher Entscheid in einer öffentlich-rechtlichen Angelegenheit. Dagegen steht die Beschwerde nach Art. 82 ff. BGG offen; ein Ausnahmegrund ist nicht gegeben ( Art. 83 BGG ). Damit ist die vom Beschwerdeführer ebenfalls erhobene subsidiäre Verfassungsbeschwerde von vornherein unzulässig ( Art. 113 BGG ). Es ist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Beschwerdeberechtigung setzt u.a. ein schutzwürdiges Interesse des Beschwerdeführers an der Aufhebung oder Änderung des angefochtenen Entscheids voraus (Art. Art. 89 Abs. 1 lit. c BGG ). Ein solches Interesse hat der Beschwerdeführer nicht; er hat vielmehr vor Verwaltungsgericht vollständig obsiegt und beantragt daher weder die Aufhebung noch die Änderung des angefochtenen Entscheids, sondern vielmehr ausschliesslich eine Ergänzung der Begründung. Dazu ist er offenkundig nicht berechtigt, er hat keinen Anspruch darauf, dass die umstrittene Polizeikontrolle noch zusätzlich unter dem Gesichtspunkt der EMRK geprüft wird. Aus der von ihm angeführten Praxis des Bundesgerichts ( BGE 137 I 296 , 136 I 274), auf Haftbeschwerden unter gewissen Voraussetzungen auch dann einzutreten, wenn das aktuelle Rechtsschutzinteresse mit der Freilassung des Inhaftierten während des bundesgerichtlichen Verfahrens weggefallen ist, kann der Beschwerdeführer nichts Gegenteiliges ableiten. Anders als in diesen Fällen hat er ein günstiges Urteil erstreiten können, in dem das Verwaltungsgericht entsprechend seinem Antrag die Widerrechtlichkeit der umstrittenen Polizeikontrolle festgestellt hat; die Fälle sind daher nicht vergleichbar.</w:t>
      </w:r>
    </w:p>
    <w:p>
      <w:r>
        <w:rPr>
          <w:b/>
        </w:rPr>
        <w:t>E. 2</w:t>
      </w:r>
    </w:p>
    <w:p>
      <w:r>
        <w:t>Auf die Beschwerde ist daher im vereinfachten Verfahren nicht einzutreten. Damit wird der Beschwerdeführer an sich kostenpflichtig ( Art. 66 Abs. 1 BGG ). Er hat zwar ein Gesuch um unentgeltliche Rechtspflege und Verbeiständung gestellt, welches indessen abzuweisen ist, da die Beschwerde aussichtslos war ( Art. 64 Abs. 1 und 2 BGG ). Auf die Erhebung von Kosten kann allerdings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