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1C_701/2017 vom 14. Mai 2018</w:t>
      </w:r>
    </w:p>
    <w:p>
      <w:r>
        <w:t>Bundesgericht, 2018-05-14, DE</w:t>
      </w:r>
    </w:p>
    <w:p>
      <w:r>
        <w:rPr>
          <w:b/>
        </w:rPr>
        <w:t xml:space="preserve">Quelle: </w:t>
      </w:r>
      <w:r>
        <w:t>https://mcp.opencaselaw.ch/entscheid/bger_1C_701_2017</w:t>
      </w:r>
    </w:p>
    <w:p>
      <w:r>
        <w:t>FR: TF 1C_701/2017 du 14 mai 2018</w:t>
      </w:r>
    </w:p>
    <w:p>
      <w:r>
        <w:t>IT: TF 1C_701/2017 del 14 maggio 2018</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Die übrigen Sachurteilsvoraussetzungen sind erfüllt, weshalb auf die Beschwerde einzutreten ist.</w:t>
      </w:r>
    </w:p>
    <w:p>
      <w:r>
        <w:rPr>
          <w:b/>
        </w:rPr>
        <w:t>E. 2.1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 Art. 14 Abs. 2 lit. c SVG ). Der Führerausweis ist zu entziehen, wenn festgestellt wird, dass die gesetzlichen Voraussetzungen zur Erteilung nicht oder nicht mehr bestehen ( Art. 16 Abs. 1 SVG ).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 Art. 16d Abs. 1 lit. a und b SVG ). Diesfalls kann der Ausweisentzug selbst ohne Vorliegen einer konkreten Widerhandlung gegen die Strassenverkehrsregeln erfolgen (vgl. BGE 133 I 331 E. 9.1 S. 351 f.). Sicherungsentzüge dienen der Gewährleistung der Verkehrssicherheit; in den entsprechenden Verfahren gilt die Unschuldsvermutung nicht ( BGE 140 II 334 E. 6 S. 339).</w:t>
      </w:r>
    </w:p>
    <w:p>
      <w:r>
        <w:rPr>
          <w:b/>
        </w:rPr>
        <w:t>E. 2.2</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(siehe zum Ganzen: BGE 129 II 82 E. 4.1 S. 86 f.; Urteil 1C_384/2017 vom 7. März 2018 E. 2.1 mit Hinweis).</w:t>
      </w:r>
    </w:p>
    <w:p>
      <w:r>
        <w:rPr>
          <w:b/>
        </w:rPr>
        <w:t>E. 2.3</w:t>
      </w:r>
    </w:p>
    <w:p>
      <w:r>
        <w:t>Ist die Fahreignung nicht mehr gegeben, muss ein Sicherungsentzug zwingend angeordnet werden. Als schwerwiegender Eingriff in den Persönlichkeitsbereich des Betroffenen setzt er eine sorgfältige Abklärung aller wesentlichen Gesichtspunkte voraus ( BGE 133 II 384 E. 3.1 S. 387 f.). Der Umfang der Nachforschungen richtet sich nach den Umständen des Einzelfalls und liegt im pflichtgemässen Ermessen der Entzugsbehörde ( BGE 129 II 82 E. 2.2 S. 84).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S. 91 f.; Urteil 1C_147/2017 vom 22. Juni 2017 E. 3.2.3; je mit Hinweisen).</w:t>
      </w:r>
    </w:p>
    <w:p>
      <w:r>
        <w:rPr>
          <w:b/>
        </w:rPr>
        <w:t>E. 2.3.1</w:t>
      </w:r>
    </w:p>
    <w:p>
      <w:r>
        <w:t>Die bundesgerichtliche Rechtsprechung anerkennt die Haaranalyse als geeignetes Mittel sowohl zum Nachweis eines übermässigen Alkoholkonsums als auch der Einhaltung einer Abstinenzverpflichtung ( BGE 140 II 334 E. 3 S. 337 f. mit Hinweisen). Biochemische Analyseresultate von Haarproben betreffend das Trinkalkohol-Stoffwechselprodukt EtG erlauben objektive Rückschlüsse auf den Alkoholkonsum eines Probanden während einer bestimmten Zeit (vgl. Schweizerische Gesellschaft für Rechtsmedizin [SGRM], Arbeitsgruppe Haaranalytik, Bestimmung von Ethylglucuronid [EtG] in Haarproben, Version 2017, Ziff. 3.1).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 BGE 140 II 334 E. 3 S. 337 mit Hinweisen, und E. 7 S. 340).</w:t>
      </w:r>
    </w:p>
    <w:p>
      <w:r>
        <w:rPr>
          <w:b/>
        </w:rPr>
        <w:t>E. 2.3.2</w:t>
      </w:r>
    </w:p>
    <w:p>
      <w:r>
        <w:t>Das Bundesgericht weicht nicht ohne triftigen Grund von einer Haaranalyse ab, die in einem dafür vorgesehenen Labor durchgeführt wurde. Ein Abweichen ist nur zulässig, wenn die Glaubwürdigkeit des Gutachtens durch die Umstände ernsthaft erschüttert ist ( BGE 140 II 334 E. 3 S. 338 mit Hinweis). Das Abstellen auf eine nicht schlüssige Expertise bzw. der Verzicht auf die gebotenen zusätzlichen Beweiserhebungen kann gegen das Verbot willkürlicher Beweiswürdigung ( Art. 9 BV ) verstossen (statt vieler BGE 133 II 384 E. 4.2.3 S. 391 mit Hinweisen).</w:t>
      </w:r>
    </w:p>
    <w:p>
      <w:r>
        <w:rPr>
          <w:b/>
        </w:rPr>
        <w:t>E. 2.4</w:t>
      </w:r>
    </w:p>
    <w:p>
      <w:r>
        <w:t>Der Beschwerdeführer ist der Ansicht, der Führerausweisentzug sei zu Unrecht erfolgt. Die Vorinstanz habe sich bei ihrer Beurteilung lediglich auf das Gutachten abgestützt, welches den Entzug mit einer einmaligen Haaranalyse und dem Überschreiten des Alkoholwertes im Ereigniszeitpunkt von 1,6 Gewichtspromille sowie seinen abweichenden Angaben begründet. Hingegen habe sie weder weitere Abklärungen (z.B. Erhebung und Auswertung von Blutwerten, Befragung des Umfelds zum Trinkverhalten etc.) getroffen noch sich mit seinen Vorbringen auseinandergesetzt, er trinke seit August 2017 keinen Alkohol mehr und habe eingestanden, dass seine Angaben gegenüber dem Gutachter eher moderat ausgefallen seien. Der mittels der Haaranalyse überprüfte Zeitraum umfasse zudem die Sommerferien, wo er teilweise viel getrunken habe. Da ihm der Führerausweis aber bereits am 17. Juni 2017 entzogen worden sei, sei er nach dem Alkoholkonsum sowieso nie Auto gefahren. Die neuerliche Haaranalyse belege zudem, dass er von August bis Dezember 2017 gar keinen Alkohol mehr getrunken habe. Es fehle an einer sorgfältigen Abklärung aller wesentlichen Gesichtspunkte zur Feststellung einer Trunksucht durch die Vorinstanz. Da sich das Gutachten zudem nicht zur Frage äussere, inwiefern er nicht mehr in der Lage sei, Alkoholkonsum und Strassenverkehr ausreichend zu trennen, bilde es keine verlässliche Grundlage für den angefochtenen Entscheid.</w:t>
      </w:r>
    </w:p>
    <w:p>
      <w:r>
        <w:rPr>
          <w:b/>
        </w:rPr>
        <w:t>E. 2.5</w:t>
      </w:r>
    </w:p>
    <w:p>
      <w:r>
        <w:t>Die Vorinstanz ist dagegen der Auffassung, das Gutachten erweise sich als vollständig, schlüssig und widerspruchsfrei und es bestünden keine Gründe, um davon abzuweichen. Der erhöhte EtG-Wert werde im Gutachten zu Recht als wichtiges Indiz betrachtet. Der gutachterliche Schluss basiere aber auch auf der einlässlichen Erhebung der allgemeinen und alkoholspezifischen Anamnese sowie auf der Untersuchung des Beschwerdeführers. Zudem seien auch die Ausführungen des Hausarztes beigezogen worden.</w:t>
      </w:r>
    </w:p>
    <w:p>
      <w:r>
        <w:rPr>
          <w:b/>
        </w:rPr>
        <w:t>E. 3</w:t>
      </w:r>
    </w:p>
    <w:p>
      <w:r>
        <w:t>Zu prüfen ist im Folgenden, ob die Vorinstanz die Fahreignung des Beschwerdeführers zu Recht verneint bzw. ob das eingeholte Gutachten des Instituts für Rechtsmedizin (IRM) des Kantonsspitals Aarau eine hinreichend verlässliche Grundlage für den Sicherungsentzug des Führerausweises darstellt.</w:t>
      </w:r>
    </w:p>
    <w:p>
      <w:r>
        <w:rPr>
          <w:b/>
        </w:rPr>
        <w:t>E. 3.1</w:t>
      </w:r>
    </w:p>
    <w:p>
      <w:r>
        <w:t>Das verkehrsmedizinische Gutachten des IRM vom 1. September 2017 verneint die Fahreignung des Beschwerdeführers zusammenfassend aufgrund des festgestellten EtG-Werts und der nach der Fahrt festgestellten Blutalkoholkonzentration von 0.86 mg/l. Diese beiden Werte würden auf eine erhebliche Alkoholgewöhnung schliessen lassen. Aus verkehrsmedizinischer Sicht sei von einem verkehrsrelevanten Alkoholmissbrauch auszugehen. Das Resultat der Haaranalyse stehe zudem im Widerspruch zu den moderaten Trinkangaben des Beschwerdeführers.</w:t>
      </w:r>
    </w:p>
    <w:p>
      <w:r>
        <w:t>Die chemisch-toxikologische Untersuchung der beim Beschwerdeführer am 26. Juli 2017 entnommenen Kopfhaare hat für den Zeitraum der vorangehenden drei Monate eine EtG-Konzentration von 57 pg/mg Haare ergeben. Dieser Wert lässt auch unter Berücksichtigung der von der SGRM neu auf +/- 30 % festgesetzten Messunsicherheit (vgl. SGRM, a.a.O., Ziff. 5.3.3) grundsätzlich auf einen übermässigen Alkoholkonsum schliessen.</w:t>
      </w:r>
    </w:p>
    <w:p>
      <w:r>
        <w:rPr>
          <w:b/>
        </w:rPr>
        <w:t>E. 3.2</w:t>
      </w:r>
    </w:p>
    <w:p>
      <w:r>
        <w:t>Nach der Rechtsprechung können deutlich überhöhte EtG-Werte zwar ein wichtiges Indiz für mangelnde Fahrtüchtigkeit darstellen; sie vermögen jedoch eine ausreichende verkehrsmedizinische Abklärung als Voraussetzung für den Sicherungsentzug nicht vollständig zu ersetzen (vgl. E. 2.3; Urteil 1C_615/2014 vom 11. Mai 2015 E. 2.5.1 mit Hinweis).</w:t>
      </w:r>
    </w:p>
    <w:p>
      <w:r>
        <w:t>Vorliegend stützt sich das Gutachten entgegen der Ansicht des Beschwerdeführers nicht nur auf den EtG-Wert, sondern es wurden zusätzliche ergänzende Abklärungen in einem ausreichenden Umfang getroffen. Anlässlich der verkehrsmedizinischen Untersuchung vom 26. Juli 2017 wurden insbesondere die persönlichen Verhältnisse des Beschwerdeführers geprüft. Dabei wurde die Trunkenheitsfahrt vom 17. Juni 2017 aufgearbeitet und die allgemeinen Trinkgewohnheiten des Beschwerdeführers sowie seine subjektive Einstellung dazu besprochen. Der Beschwerdeführer führte aus, er trinke im Durchschnitt ca. zwei Mal im Monat zwischen 5 dl und 1.5 l Bier. Selten trinke er auch unter der Woche ein Bier à 5 dl mit seiner Freundin, das komme aber maximal einmal in der Woche vor. Die grösste Menge Alkohol habe er am 17. Juni 2017 getrunken, als sich der Vorfall ereignet habe. Gemäss Gutachten stehen diese Aussagen im Widerspruch zum Resultat der Haaranalyse und zur festgestellten Blutalkoholkonzentration. Beide Werte würden auf eine erhebliche Alkoholgewöhnung hinweisen, welche sich nur durch lang andauernden, regelmässigen Alkoholkonsum entwickeln könne. Indem der Beschwerdeführer lediglich von einem geringen respektive moderaten Trinkverhalten spreche, bagatellisiere er seinen Alkoholkonsum oder schätze ihn nicht richtig ein, woraus sich eine erhebliche Verkehrsrelevanz ergebe.</w:t>
      </w:r>
    </w:p>
    <w:p>
      <w:r>
        <w:t>In seinem Schreiben an die Kommission für Administrativmassnahmen hat der Beschwerdeführer zugegeben, dass seine Aussagen betreffend das Trinkverhalten anlässlich der Begutachtung beschönigt gewesen seien. Er habe zwar nie verschwiegen, dass er gerne Alkohol trinke. In den Sommermonaten könne es aber vorkommen, dass er am Feierabend ein bis zwei Bier zum Grillieren trinke. Am Wochenende mit Freunden sei er auch nicht derjenige, der nicht trinke. Jedoch fahre er nie, wenn er dies mache.</w:t>
      </w:r>
    </w:p>
    <w:p>
      <w:r>
        <w:t>Bei der körperlichen Untersuchung konnten keine verkehrsmedizinisch relevanten Besonderheiten festgestellt werden. Dies ist gemäss Gutachter nicht aussergewöhnlich, da sich alkoholbedingte Folgeveränderungen in der Regel erst im Verlauf eines auffälligen Trinkverhaltens über Jahre bis Jahrzehnte entwickeln können. Vor diesem Hintergrund ist nicht zu beanstanden, wenn die Vorinstanz von einem verkehrsrelevanten Alkoholkonsum des Beschwerdeführers ausging. Zwar sind auch dem Bericht des Hausarztes vom 31. Juli 2017 keine Hinweise auf eine Suchtmittelproblematik zu entnehmen. Erwähnt wird immerhin ein Sturz des Beschwerdeführers im Februar 2017 in betrunkenem Zustand, wobei dieser diesbezüglich ausgeführt hatte, dass der Sturz auf Glatteis zurückzuführen gewesen sei.</w:t>
      </w:r>
    </w:p>
    <w:p>
      <w:r>
        <w:rPr>
          <w:b/>
        </w:rPr>
        <w:t>E. 3.3</w:t>
      </w:r>
    </w:p>
    <w:p>
      <w:r>
        <w:t>Nach dem Gesagten folgt, dass für die gutachterliche Beurteilung der Fahreignung des Beschwerdeführers auch auf andere Faktoren als den EtG-Wert abgestellt wurde. Damit genügt das Gutachten vorliegend den im vom Beschwerdeführer zitierten Urteil festgehaltenen Anforderungen an eine verkehrsmedizinische Abklärung ( BGE 129 II 82 in E. 6 S. 88 f.). Der Beschwerdeführer bringt keine Gründe vor, welche die Glaubwürdigkeit des Gutachtens ernsthaft erschüttern würden.</w:t>
      </w:r>
    </w:p>
    <w:p>
      <w:r>
        <w:t>Soweit er sich darauf beruft, er trinke seit dem 5. August 2017 keinen Alkohol mehr, kann er nichts zu seinen Gunsten ableiten. Er untermauert diese Behauptung vor Bundesgericht zwar mit dem Resultat einer neuen, von ihm in Auftrag gegebenen Haaranalyse des MVZ Labor Krone GbR vom 13. Dezember 2017. Bei dieser wurde ein EtG-Wert von &lt; 7 pg/mg gemessen. Dabei handelt es sich jedoch um ein unzulässiges Novum. Nach Art. 99 Abs. 1 BGG dürfen neue Tatsachen und Beweismittel nur so weit vorgebracht werden, als erst der Entscheid der Vorinstanz dazu Anlass gibt. Echte tatsächliche Noven, das heisst Tatsachen, die erst nach dem Ergehen des angefochtenen Entscheids eingetreten sind, sind grundsätzlich unzulässig ( BGE 139 III 120 E. 3.1.2 S. 123; 133 IV 342 E. 2.1 S. 343 f.; je mit Hinweisen). Für die Beurteilung des vorliegenden Sicherungsentzugs sind die Umstände zum Zeitpunkt der Verfügung vom 28. September 2017 entscheidend.</w:t>
      </w:r>
    </w:p>
    <w:p>
      <w:r>
        <w:t>Das Argument des Beschwerdeführers, er verfüge über einen unbelasteten automobilistischen Leumund, geht an der Sache vorbei.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 BGE 133 II 331 E. 9.1 S. 351 mit Hinweisen). Soweit der Beschwerdeführer geltend macht, beruflich auf den Führerausweis angewiesen zu sein, vermag er ebenfalls nicht durchzudringen. Die eingereichte Stellungnahme seines Arbeitgebers, wonach es sich beim Beschwerdeführer um einen seriösen und kompetenten Kadermitarbeiter handle, ändert an der Rechtsmässigkeit des Sicherungsentzugs ebenfalls nichts.</w:t>
      </w:r>
    </w:p>
    <w:p>
      <w:r>
        <w:rPr>
          <w:b/>
        </w:rPr>
        <w:t>E. 3.4</w:t>
      </w:r>
    </w:p>
    <w:p>
      <w:r>
        <w:t>Im Ergebnis erweist sich das verkehrsmedizinische Gutachten somit als vollständig, schlüssig und widerspruchsfrei. Mit Blick auf die sorgfältigen verkehrsmedizinischen Abklärungen aller wesentlichen Gesichtspunkte bestand für die Vorinstanz kein Anlass, weitere Abklärungen zu treffen. Indem sie darauf abstellte und den von der Kommission für Administrativmassnahmen verfügte Sicherungsentzug des Führerausweises bestätigte, verletzte sie kein Bundesrecht.</w:t>
      </w:r>
    </w:p>
    <w:p>
      <w:r>
        <w:rPr>
          <w:b/>
        </w:rPr>
        <w:t>E. 4</w:t>
      </w:r>
    </w:p>
    <w:p>
      <w:r>
        <w:t>Die Beschwerde erweist sich nach dem Gesagten als unbegründet und ist abzuweisen.</w:t>
      </w:r>
    </w:p>
    <w:p>
      <w:r>
        <w:t>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