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1C_700/2017 vom 20. April 2018</w:t>
      </w:r>
    </w:p>
    <w:p>
      <w:r>
        <w:t>Bundesgericht, 2018-04-20, FR</w:t>
      </w:r>
    </w:p>
    <w:p>
      <w:r>
        <w:rPr>
          <w:b/>
        </w:rPr>
        <w:t xml:space="preserve">Quelle: </w:t>
      </w:r>
      <w:r>
        <w:t>https://mcp.opencaselaw.ch/entscheid/bger_1C_700_2017</w:t>
      </w:r>
    </w:p>
    <w:p>
      <w:r>
        <w:t>FR: TF 1C_700/2017 du 20 avril 2018</w:t>
      </w:r>
    </w:p>
    <w:p>
      <w:r>
        <w:t>IT: TF 1C_700/2017 del 20 aprile 2018</w:t>
      </w:r>
    </w:p>
    <w:p>
      <w:pPr>
        <w:pStyle w:val="Heading2"/>
      </w:pPr>
      <w:r>
        <w:t>Erwägungen</w:t>
      </w:r>
    </w:p>
    <w:p>
      <w:r>
        <w:rPr>
          <w:b/>
        </w:rPr>
        <w:t>E. 1</w:t>
      </w:r>
    </w:p>
    <w:p>
      <w:r>
        <w:t>A teneur de l' art. 86 al. 1 let . d LTF, le recours en matière de droit public est recevable contre les décisions des autorités cantonales de dernière instance, pour autant que le recours devant le Tribunal administratif fédéral ne soit pas ouvert. En l'occurrence, le recours a été formé à la suite de la décision communale du 7 décembre 2017. Il est dirigé contre l'arrêt cantonal du 18 février 2014, qui, en tant qu'arrêt de renvoi, a été considéré comme une décision incidente, et n'était pas directement attaquable devant le Tribunal fédéral lorsqu'il a été rendu (arrêt 1C_153/2014 du 25 mars 2014). La décision préjudicielle ou incidente peut être attaquée à l'occasion d'un recours dirigé contre la décision finale, dans la mesure où elle influe sur le contenu de celle-ci ( art. 93 al. 3 LTF ; ATF 135 III 329 consid. 1.2). En outre, selon la jurisprudence, il n'y a pas lieu de tenir compte de la condition de l'épuisement des instances cantonales lorsque la décision finale d'une autorité inférieure repose sur un arrêt de l'autorité cantonale de recours qui a dès lors par avance approuvé cette décision dans son résultat, de sorte qu'un nouveau recours cantonal ne serait qu'une formalité vide de sens ( ATF 143 III 290 consid. 1.2 p. 294; 117 Ia 251 consid. 1b p. 255; 106 Ia 229 consid. 4 p. 236). Dans la mesure où le recourant ne conteste aucun élément nouvellement tranché par la commune, le recours est ouvert à l'encontre des deux décisions précitées.</w:t>
      </w:r>
    </w:p>
    <w:p>
      <w:r>
        <w:t>Pour le surplus, s'agissant d'une cause de droit public ( art. 82 let. a LTF ), qui ne fait l'objet d'aucune des exceptions prévues à l' art. 83 LTF , le recours en matière de droit public est ouvert. Le recourant a pris part à la procédure devant les autorités précédentes et est particulièrement touché par la décision attaquée, qui accorde un permis de construire complémentaire concernant la parcelle dont il est le voisin direct. Il dispose dès lors de la qualité pour recourir devant le Tribunal fédéral au sens de l' art. 89 al. 1 LTF .</w:t>
      </w:r>
    </w:p>
    <w:p>
      <w:r>
        <w:rPr>
          <w:b/>
        </w:rPr>
        <w:t>E. 2</w:t>
      </w:r>
    </w:p>
    <w:p>
      <w:r>
        <w:t>Le recourant produit des plans relatifs à un projet d'aménagement du bâtiment situé sur sa parcelle. Nouvelles, ces pièces sont irrecevables de sorte que le Tribunal fédéral n'en tient pas compte ( art. 99 al. 1 LTF ).</w:t>
      </w:r>
    </w:p>
    <w:p>
      <w:r>
        <w:rPr>
          <w:b/>
        </w:rPr>
        <w:t>E. 3</w:t>
      </w:r>
    </w:p>
    <w:p>
      <w:r>
        <w:t>Le recourant fait valoir une violation de l'art. 4.2 al. 3 du règlement communal général sur l'aménagement du territoire et les constructions (RPGA). Le hall d'entrée, qui s'étend jusqu'à la limite des constructions, violerait les règles communales sur la contiguïté des bâtiments.</w:t>
      </w:r>
    </w:p>
    <w:p>
      <w:r>
        <w:rPr>
          <w:b/>
        </w:rPr>
        <w:t>E. 3.1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être topique, c'est-à-dire se rapporter à la question juridique tranchée par l'instance précédente ( ATF 123 V 335 ; arrêts 6B_260/2018 du 15 mars 2018 consid. 5.2; 6B_970/2017 du 17 octobre 2017 consid. 4).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De tels griefs sont, conformément à ce qui précède, soumis aux exigences de motivation accrues de l' art. 106 al. 2 LTF .</w:t>
      </w:r>
    </w:p>
    <w:p>
      <w:r>
        <w:rPr>
          <w:b/>
        </w:rPr>
        <w:t>E. 3.2</w:t>
      </w:r>
    </w:p>
    <w:p>
      <w:r>
        <w:t>L'art. 4.2 RPGA prévoit ce qui suit:</w:t>
      </w:r>
    </w:p>
    <w:p>
      <w:r>
        <w:t>"art. 4.2       Ordre des constructions</w:t>
      </w:r>
    </w:p>
    <w:p>
      <w:r>
        <w:t>Dans la zone village et dans la zone d'utilité publique, les bâtiments peuvent être édifiés soit en ordre contigu, soit en ordre non contigu. L'ordre contigu n'est toutefois admis que dans les cas suivants:</w:t>
      </w:r>
    </w:p>
    <w:p>
      <w:r>
        <w:t>- lorsqu'il est existant</w:t>
      </w:r>
    </w:p>
    <w:p>
      <w:r>
        <w:t>- lorsque le propriétaire voisin a déjà construit sur la limite commune</w:t>
      </w:r>
    </w:p>
    <w:p>
      <w:r>
        <w:t>- lorsque les propriétaires des biens-fonds où il s'exerce sont d'accord avec ce mode d'implantation.</w:t>
      </w:r>
    </w:p>
    <w:p>
      <w:r>
        <w:t>Dans les autres zones, l'ordre non contigu est de règle."</w:t>
      </w:r>
    </w:p>
    <w:p>
      <w:r>
        <w:t>Dans l'arrêt attaqué, la cour cantonale n'a pas véritablement discuté la question du principe même de la possibilité de construire en ordre contigu. Elle a examiné la profondeur maximum que pouvaient avoir les murs mitoyens. Cela étant, on comprend qu'elle est partie de l'idée que l'ordre contigu était admissible ou, en d'autres termes, que l'une des conditions alternatives de l'art. 4.2 RPGA était manifestement réalisée. Selon l'arrêt attaqué, la municipalité avait quant à elle considéré que les deux premières conditions étaient réalisées, à savoir d'une part que l'ordre contigu était existant et d'autre part que le propriétaire voisin avait déjà construit sur la limite commune.</w:t>
      </w:r>
    </w:p>
    <w:p>
      <w:r>
        <w:t>Dans son recours du 18 décembre 2017, le recourant fait valoir qu'il n'a pas donné son accord avec le mode d'implantation en ordre contigu. Il se réfère ainsi au troisième cas de figure dans lequel l'ordre contigu est admissible au sens du règlement communal. Or ce n'est pas le motif pour lequel les instances précédentes avaient admis ce mode de construction. En d'autres termes, le recourant ne s'en prend pas aux motifs des décisions contestées. Son grief ne remet pas en cause le bien-fondé de celles-ci et ne remplit pas les exigences de motivation de l' art. 42 al. 2 LTF mises en parallèle avec celles de l' art. 106 al. 2 LTF . Il est par conséquent irrecevable.</w:t>
      </w:r>
    </w:p>
    <w:p>
      <w:r>
        <w:rPr>
          <w:b/>
        </w:rPr>
        <w:t>E. 4</w:t>
      </w:r>
    </w:p>
    <w:p>
      <w:r>
        <w:t>Ce grief étant le seul formulé à l'encontre de l'arrêt attaqué, il s'ensuit que le recours est irrecevable (cf. ATF 133 IV 119 consid. 6.4 p. 121). Le recourant supportera les frais de justice ( art. 66 al. 1 LTF ). Les intimés, non représentés dans la présente procédure,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