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1C_69/2012 vom 3. August 2012</w:t>
      </w:r>
    </w:p>
    <w:p>
      <w:r>
        <w:t>Bundesgericht, 2012-08-03, DE</w:t>
      </w:r>
    </w:p>
    <w:p>
      <w:r>
        <w:rPr>
          <w:b/>
        </w:rPr>
        <w:t xml:space="preserve">Quelle: </w:t>
      </w:r>
      <w:r>
        <w:t>https://mcp.opencaselaw.ch/entscheid/bger_1C_69_2012</w:t>
      </w:r>
    </w:p>
    <w:p>
      <w:r>
        <w:t>FR: TF 1C_69/2012 du 3 août 2012</w:t>
      </w:r>
    </w:p>
    <w:p>
      <w:r>
        <w:t>IT: TF 1C_69/2012 del 3 agosto 2012</w:t>
      </w:r>
    </w:p>
    <w:p>
      <w:pPr>
        <w:pStyle w:val="Heading2"/>
      </w:pPr>
      <w:r>
        <w:t>Erwägungen</w:t>
      </w:r>
    </w:p>
    <w:p>
      <w:r>
        <w:rPr>
          <w:b/>
        </w:rPr>
        <w:t>E. 1</w:t>
      </w:r>
    </w:p>
    <w:p>
      <w:r>
        <w:t>Gegen den Entscheid des Obergerichts steht die Beschwerde in öffentlich-rechtlichen Angelegenheiten gemäss Art. 82 BGG offen. Der Beschwerdeführer legt nicht in einer den Anforderungen von Art. 42 Abs. 2 BGG genügenden Weise dar, weshalb und inwiefern der angefochtene Beschluss gegen Bundesrecht verstossen sollte. Insoweit kann auf die Beschwerde nicht eingetreten werden.</w:t>
      </w:r>
    </w:p>
    <w:p>
      <w:r>
        <w:t>Im Wesentlichen macht der Beschwerdeführer einzig geltend, aufgrund von Art. 12 f. und Art. 14 des UN-Übereinkommens gegen Folter und andere grausame, unmenschliche oder erniedrigende Behandlung oder Strafe vom 10. Dezember 1984 (Folterkonvention, FoK; SR 0.105) habe er Anspruch auf eine unparteiische Untersuchung, ohne darlegen zu müssen, dass er gefoltert oder anderswie grausam, unmenschlich oder erniedrigend behandelt worden zu sein. Das Ermächtigungsverfahren sei mit der Folterkonvention nicht vereinbar. Darauf ist nachfolgend einzugehen.</w:t>
      </w:r>
    </w:p>
    <w:p>
      <w:r>
        <w:rPr>
          <w:b/>
        </w:rPr>
        <w:t>E. 2.1</w:t>
      </w:r>
    </w:p>
    <w:p>
      <w:r>
        <w:t>Nach Art. 7 Abs. 2 lit. b StPO können die Kantone vorsehen, dass die Strafverfolgung von Beamten von einer Ermächtigung abhängig gemacht wird. Das Zürcher Gesetz über die Gerichts- und Behördenorganisation im Zivil- und Strafprozess (Gerichtsorganisationsgesetz, GOG; Gesetzessammlung 211.1) sieht in § 148 einen entsprechenden Ermächtigungsentscheid durch das Obergericht, somit durch eine unabhängige gerichtliche Instanz vor. Es sollen Staatsbedienstete vor mutwilliger Strafverfolgung geschützt werden. Im Ermächtigungsverfahren dürfen grundsätzlich nur strafrechtliche Gesichtspunkte berücksichtigt werden (zum Ganzen BGE 137 IV 269 E. 2 S. 275 mit Hinweisen). Dabei hat der Betroffene die angebliche Straftat glaubhaft zu machen, damit der Ermächtigungsentscheid getroffen werden kann. Das gilt auch hinsichtlich von Straftaten im Sinne der Folterkonvention. Das ergibt sich aus Art. 12 und 13 FoK, wonach eine Untersuchung vorzunehmen ist, wenn ein hinreichender Grund für die Annahme einer Folterhandlung besteht bzw. wenn jemand behauptet, gefoltert worden zu sein. Es genügt nicht, mit blossem Verweis auf die Konvention eine Untersuchung zu verlangen.</w:t>
      </w:r>
    </w:p>
    <w:p>
      <w:r>
        <w:t>Der Beschwerdeführer hat weder vor Obergericht noch im bundesgerichtlichen Verfahren konkret behauptet oder glaubhaft gemacht, inwiefern, bei welcher Gelegenheit und allenfalls durch welche Polizeibeamten er misshandelt worden sei und welche Straftatbestände dabei möglicherweise erfüllt seien. Daran ändert auch ein neu nachgereichtes und nach Art. 99 Abs. 1 BGG unzulässiges Bild mit "ausgerissenen Haaren" und einem "ausgeschlagenen Zahn" nichts. Bei dieser Sachlage durfte das Obergericht ohne Rechtsverletzung annehmen, es fehle an einem hinreichenden Anfangsverdacht, und die Ermächtigung verweigern.</w:t>
      </w:r>
    </w:p>
    <w:p>
      <w:r>
        <w:rPr>
          <w:b/>
        </w:rPr>
        <w:t>E. 2.2</w:t>
      </w:r>
    </w:p>
    <w:p>
      <w:r>
        <w:t>Daran vermag auch die Berufung auf Art. 3 EMRK nichts zu ändern. Nach Art. 10 Abs. 3 BV ist Folter und jede andere Art grausamer, unmenschlicher oder erniedrigender Behandlung verboten. Dieselbe Grundrechtsgarantie ist in Art. 3 EMRK enthalten. Die Rechtsprechung anerkennt gestützt auf Art. 10 Abs. 3 BV , Art. 7 UNO-Pakt II , Art. 3 und 13 EMRK sowie Art. 13 des UN-Übereinkommens gegen Folter und andere grausame, unmenschliche oder erniedrigende Behandlung oder Strafe vom 10. Dezember 1984 (SR 0.105) einen Anspruch des von solcher Behandlung Betroffenen auf wirksamen Rechtsschutz (vgl. BGE 131 I 455 E. 1.2.5 S. 462 f.; Urteile des Bundesgerichts 1B_70/ 2011 vom 11. Mai 2011 E. 2.2.5, in: EuGRZ 2011 619; 1B_10/2012 vom 29. März 2012 E. 1.2.3). In diesem Sinne hat Anspruch auf eine wirksame und vertiefte amtliche Untersuchung, wer in vertretbarer Weise behauptet, von einem Polizeibeamten erniedrigend behandelt worden zu sein. Kann sich der Betroffene auf Art. 3 EMRK berufen, verschafft ihm der prozessuale Teilgehalt dieser Bestimmung ein rechtlich geschütztes Interesse an der Aufhebung eines Entscheids, mit dem die Eröffnung einer Strafuntersuchung gegen einen Polizeibeamten abgelehnt wird, die Untersuchung eingestellt wird oder ein Freispruch ergeht (Urteile 6B_364/2011 vom 24. Oktober 2011; 6B_274/2009 vom 16. Februar 2010). Dem Betroffenen steht somit ein umfassender Rechtsschutz zur Verfügung.</w:t>
      </w:r>
    </w:p>
    <w:p>
      <w:r>
        <w:t>Die Berufung auf den prozessualen Teilgehalt von Art. 3 EMRK entbindet nicht davon, eine entsprechende Misshandlung in vertretbarer Weise zu behaupten und konkret darzutun. Dem ist der Beschwerdeführer, wie das Obergericht festgehalten hat, nicht nachgekommen.</w:t>
      </w:r>
    </w:p>
    <w:p>
      <w:r>
        <w:rPr>
          <w:b/>
        </w:rPr>
        <w:t>E. 3</w:t>
      </w:r>
    </w:p>
    <w:p>
      <w:r>
        <w:t>Der Beschwerdeführer weist auf weitere Ereignisse und Bemühungen hin. Ein fürsorgerischer Freiheitsentzug und damit verbundene Verfahrensverletzungen sind im sachbezogenen Verfahren zu rügen. Ein angeblich gegen sämtliche Staatsbedienstete gerichtetes Ausstandsgesuch wird nicht substantiiert. Darauf ist nicht einzugehen.</w:t>
      </w:r>
    </w:p>
    <w:p>
      <w:r>
        <w:rPr>
          <w:b/>
        </w:rPr>
        <w:t>E. 4</w:t>
      </w:r>
    </w:p>
    <w:p>
      <w:r>
        <w:t>Demnach ist die Beschwerde abzuweisen, soweit darauf eingetreten werden kann. Mit dem Entscheid in der Sache wird das Gesuch um Gewährung der aufschiebenden Wirkung gegenstandslos. Nachdem sich der Beschwerdeführer mit mehreren Eingaben unaufgefordert geäussert hat, erübrigt sich ein weiterer Schriftenwechsel. Es rechtfertigt sich, auf Kosten zu verzichten, sodass das Gesuch um Gewährung der unentgeltlichen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