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1C_697/2017 vom 20. Dezember 2017</w:t>
      </w:r>
    </w:p>
    <w:p>
      <w:r>
        <w:t>Bundesgericht, 2017-12-20, FR</w:t>
      </w:r>
    </w:p>
    <w:p>
      <w:r>
        <w:rPr>
          <w:b/>
        </w:rPr>
        <w:t xml:space="preserve">Quelle: </w:t>
      </w:r>
      <w:r>
        <w:t>https://mcp.opencaselaw.ch/entscheid/bger_1C_697_2017</w:t>
      </w:r>
    </w:p>
    <w:p>
      <w:r>
        <w:t>FR: TF 1C_697/2017 du 20 décembre 2017</w:t>
      </w:r>
    </w:p>
    <w:p>
      <w:r>
        <w:t>IT: TF 1C_697/2017 del 20 dicembre 2017</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et de la nature de la transmission envisagée, portant sur la documentation d'un compte bancaire déterminé, le cas ne revêt en soi aucune importance particulière.</w:t>
      </w:r>
    </w:p>
    <w:p>
      <w:r>
        <w:rPr>
          <w:b/>
        </w:rPr>
        <w:t>E. 1.3</w:t>
      </w:r>
    </w:p>
    <w:p>
      <w:r>
        <w:t>La recourante estime que la demande d'entraide violerait la présomption d'innocence, le principe ne bis in idem et la condition de la double incrimination. Elle relève que six décisions ont déjà été rendues en France sur la même affaire et que le magistrat requérant présenterait une version totalement subjective de la situation. Ces objections ne font pas de la présente espèce un cas particulièrement important. L'existence de prononcés déjà rendus dans la même affaire n'empêche pas l'autorité requérante d'instruire sur d'autres aspects de la cause; la recourante ne soutient d'ailleurs pas que les conditions posées aux art. 5 al. 1 EIMP et 54 de la Convention d'application de l'Accord Schengen (CAAS) seraient réunies dans le cas d'espèce. Par ailleurs, on ne saurait reprocher à l'autorité requérante de présenter une version à charge, dans la mesure où l'entraide judiciaire doit lui permettre de vérifier - ou d'infirmer - ses soupçons.</w:t>
      </w:r>
    </w:p>
    <w:p>
      <w:r>
        <w:t>Pour le surplus, aucun des griefs soulevés par la recourante (contestation de l'état de fait présenté dans la demande, motivation de l'arrêt attaqué, double incrimination, proportionnalité) ne porte sur une question de principe et il n'est pas prétendu que la Cour des plaintes se serait écartée, sur un point ou un autre, de la pratique suivie jusque-là.</w:t>
      </w:r>
    </w:p>
    <w:p>
      <w:r>
        <w:rPr>
          <w:b/>
        </w:rPr>
        <w:t>E. 2</w:t>
      </w:r>
    </w:p>
    <w:p>
      <w:r>
        <w:t>Sur le vu de ce qui précède, le recours est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