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1C_696/2025 vom 1. Dezember 2025</w:t>
      </w:r>
    </w:p>
    <w:p>
      <w:r>
        <w:t>Bundesgericht, 2025-12-01, DE</w:t>
      </w:r>
    </w:p>
    <w:p>
      <w:r>
        <w:rPr>
          <w:b/>
        </w:rPr>
        <w:t xml:space="preserve">Quelle: </w:t>
      </w:r>
      <w:r>
        <w:t>https://mcp.opencaselaw.ch/entscheid/bger_1C_696_2025</w:t>
      </w:r>
    </w:p>
    <w:p>
      <w:r>
        <w:t>FR: TF 1C_696/2025 du 1 décembre 2025</w:t>
      </w:r>
    </w:p>
    <w:p>
      <w:r>
        <w:t>IT: TF 1C_696/2025 del 1 dicembre 2025</w:t>
      </w:r>
    </w:p>
    <w:p>
      <w:pPr>
        <w:pStyle w:val="Heading2"/>
      </w:pPr>
      <w:r>
        <w:t>Erwägungen</w:t>
      </w:r>
    </w:p>
    <w:p>
      <w:r>
        <w:rPr>
          <w:b/>
        </w:rPr>
        <w:t>E. 1</w:t>
      </w:r>
    </w:p>
    <w:p>
      <w:r>
        <w:t>Die drei Beschwerden richten sich gegen drei im Wesentlichen gleichlautende Entscheide des Bundesstrafgerichts und stimmen inhaltlich überein. Es rechtfertigt sich, die Verfahren, wie von den Beschwerdeführerinnen beantragt, zu vereinigen und die Sache in einem einzigen Urteil zu behandeln.</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mit Hinweisen). 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mit Hinweisen).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vorliegend um die Übermittlung von Informationen aus dem Geheimbereich und damit um ein Sachgebiet, bei dem die Beschwerde nach Art. 84 Abs. 1 BGG insoweit möglich ist. Es handelt sich jedoch um keinen besonders bedeutenden Fall. Die Beschwerdeführerinnen bestreiten die Zuständigkeit des NABU, ein Rechtshilfeersuchen an die Schweiz zu stellen. Das Bundesstrafgericht bejahte dagegen dessen Zuständigkeit. Weiter hielt es fest, dem Ersuchen liege unter anderem das Urteil des Obersten Antikorruptionsgerichts der Ukraine vom 2. August 2021 bei, worin dem NABU die für das Stellen des Ersuchens benötigten Ermächtigungen erteilt worden seien. Zudem sei das Ersuchen vom leitenden Staatsanwalt der 4. Abteilung der prozessualen Überwachung, Unterstützung der Staatsanklage und Vertretung der fachlichen Antikorruptionsanwaltschaft des Büros des Generalstaatsanwaltes genehmigt worden. Mit dieser Eventualbegründung setzen sich die Beschwerdeführerinnen nicht auseinander, weshalb die Beschwerde insoweit nicht hinreichend begründet ist (vgl. Art. 42 Abs. 2 BGG und BGE 149 III 318 E. 3.1.3; 133 IV 119 E. 6; je mit Hinweisen). Weiter sind die Beschwerdeführerinnen der Auffassung, der Fall sei deshalb besonders bedeutsam, weil das Strafverfahren gegen B.________ in der Ukraine als öffentlicher Schauprozess geführt werde und als Folge davon geheimnisgeschützte Informationen von Privaten im Internet publiziert worden seien. Das Bundesstrafgericht hielt in dieser Hinsicht zum einen fest, die Beschwerdeführerinnen könnten sich nicht auf Art. 2 IRSG (SR 351.1) berufen, da sie juristische Personen mit Sitz ausserhalb der Ukraine seien und es um die Herausgabe von Kontounterlagen gehe. Die Beschwerdeführerinnen beanstanden diese Ausführungen nicht (vgl. dazu BGE 149 IV 376 E. 3 mit Hinweisen). Sie sind dagegen der Auffassung, der Grundsatz der Spezialität werde verletzt. Wie das Bundesstrafgericht allerdings zu Recht erwog, ist dieser Grundsatz nicht verletzt, wenn Private in einer öffentlichen Verhandlung Aufnahmen machen und diese in der Folge veröffentlichen (vgl. BGE 133 IV 40 E. 6 mit Hinweis). Vielmehr bezweckt er, dass der ersuchende Staat die durch die Rechtshilfe erhaltenen Auskünfte und Schriftstücke nicht in unzulässiger Weise für Ermittlungen benützt oder als Beweismittel verwendet ( Art. 67 Abs. 1 IRSG ). Dass sich der ersuchende Staat daran hält, ist gestützt auf das völkerrechtliche Vertrauensprinzip zu vermuten. Dies gilt im Übrigen grundsätzlich selbst dann, wenn es in der Vergangenheit zu Verletzungen gekommen ist, wofür hier allerdings ohnehin keine Anzeichen bestehen (vgl. im Einzelnen Urteil 1C_450/2023 vom 27. September 2023 E. 5.3 mit Hinweisen).</w:t>
      </w:r>
    </w:p>
    <w:p>
      <w:r>
        <w:rPr>
          <w:b/>
        </w:rPr>
        <w:t>E. 3</w:t>
      </w:r>
    </w:p>
    <w:p>
      <w:r>
        <w:t>Aus diesen Erwägungen ist auf die Beschwerden nicht einzutreten. Damit wird das Gesuch um aufschiebende Wirkung gegenstandslos. Der Beschwerde kommt im vorliegenden Fall ohnehin schon von Gesetzes wegen aufschiebende Wirkung zu ( Art. 103 Abs. 2 lit. c BGG ). Bei diesem Verfahrensausgang sind die Gerichtskosten den Beschwerdeführerinnen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