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694/2020 vom 17. Dezember 2020</w:t>
      </w:r>
    </w:p>
    <w:p>
      <w:r>
        <w:t>Bundesgericht, 2020-12-17, DE</w:t>
      </w:r>
    </w:p>
    <w:p>
      <w:r>
        <w:rPr>
          <w:b/>
        </w:rPr>
        <w:t xml:space="preserve">Quelle: </w:t>
      </w:r>
      <w:r>
        <w:t>https://mcp.opencaselaw.ch/entscheid/bger_1C_694_2020</w:t>
      </w:r>
    </w:p>
    <w:p>
      <w:r>
        <w:t>FR: TF 1C 694/2020 du 17 décembre 2020</w:t>
      </w:r>
    </w:p>
    <w:p>
      <w:r>
        <w:t>IT: TF 1C 694/2020 del 17 dicembre 2020</w:t>
      </w:r>
    </w:p>
    <w:p>
      <w:pPr>
        <w:pStyle w:val="Heading2"/>
      </w:pPr>
      <w:r>
        <w:t>Regeste</w:t>
      </w:r>
    </w:p>
    <w:p>
      <w:r>
        <w:t>Strassenverkehrsrecht (Aberkennung des ausländischen Führerausweises) | Strassenbau und Strassenverkehr</w:t>
      </w:r>
    </w:p>
    <w:p>
      <w:pPr>
        <w:pStyle w:val="Heading2"/>
      </w:pPr>
      <w:r>
        <w:t>Erwägungen</w:t>
      </w:r>
    </w:p>
    <w:p>
      <w:r>
        <w:rPr>
          <w:b/>
        </w:rPr>
        <w:t>E. 1</w:t>
      </w:r>
    </w:p>
    <w:p>
      <w:r>
        <w:t>Am 26. August 2020 hat das Verkehrsamt des Kantons Schwyz A.________ den ausländischen Führerausweis für 18 Monate aberkannt. Die von ihm dagegen erhobene Beschwerde wies das Verwaltungsgericht des Kantons Schwyz am 6. November 2020 ab. Mit Beschwerde vom 9. Dezember 2020 beantragt A.________, diesen Entscheid des Verwaltungsgerichts ersatzlos aufzuheben oder eventuell die Entzugsdauer auf 3 Monate herabzusetzen.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setzt sich mit dem Entscheid nicht sachgerecht auseinander. Mit der Wiederholung der schon vor Verwaltungsgericht vorgebrachten, unbelegten Vorbringen, er habe am 7. Juli 2020 kein Fahrzeug in angetrunkenem Zustand gelenkt, der Tatbestand von Art. 16c Abs. 1 lit. b SVG sei nicht erfüllt und die Entzugsdauer unverhältnismässig, vermag er die Erwägungen des Verwaltungsgerichts, das diese Punkte eingehend geprüft hat, nicht in Frage zu stellen und bundesrechtswidrig erscheinen zu lassen. Auf die Beschwerde ist wegen Verletzung der gesetzlichen Begründungspflicht (auf die im Übrigen in der Rechtsmittelbelehrung des angefochtenen Entscheids hingewiesen wird) im vereinfachten Verfahren nicht einzutreten. Auf die Erhebung von 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