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1C_694/2017 vom 8. März 2018</w:t>
      </w:r>
    </w:p>
    <w:p>
      <w:r>
        <w:t>Bundesgericht, 2018-03-08, DE</w:t>
      </w:r>
    </w:p>
    <w:p>
      <w:r>
        <w:rPr>
          <w:b/>
        </w:rPr>
        <w:t xml:space="preserve">Quelle: </w:t>
      </w:r>
      <w:r>
        <w:t>https://mcp.opencaselaw.ch/entscheid/bger_1C_694_2017</w:t>
      </w:r>
    </w:p>
    <w:p>
      <w:r>
        <w:t>FR: TF 1C_694/2017 du 8 mars 2018</w:t>
      </w:r>
    </w:p>
    <w:p>
      <w:r>
        <w:t>IT: TF 1C_694/2017 del 8 marzo 2018</w:t>
      </w:r>
    </w:p>
    <w:p>
      <w:pPr>
        <w:pStyle w:val="Heading2"/>
      </w:pPr>
      <w:r>
        <w:t>Erwägungen</w:t>
      </w:r>
    </w:p>
    <w:p>
      <w:r>
        <w:rPr>
          <w:b/>
        </w:rPr>
        <w:t>E. 1</w:t>
      </w:r>
    </w:p>
    <w:p>
      <w:r>
        <w:t>Die Beschwerde richtet sich gegen einen Entscheid des Bundesverwaltungsgerichts in öffentlich-rechtlichen Angelegenheiten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Die übrigen Sachurteilsvoraussetzungen geben zu keinen Bemerkungen Anlass, sodass auf die Beschwerde einzutreten ist.</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w:t>
      </w:r>
    </w:p>
    <w:p>
      <w:r>
        <w:t>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3.1</w:t>
      </w:r>
    </w:p>
    <w:p>
      <w:r>
        <w:t>Für das Bundesverwaltungsgericht begründet der enge zeitliche Ablauf der Ereignisse die Vermutung, dass der Beschwerdeführer bereits im Zeitpunkt der Einbürgerung nicht mehr vorbehaltlos die Absicht hatte, die Ehe weiterzuführen. So habe er nach den tatsächlichen Feststellungen der Vorinstanz bereits im Spätherbst 2013, rund drei Monate nach der Einbürgerung, Scheidungsabsichten gehabt. Am 23. Mai 2014 wurde das förmliche Scheidungsbegehren eingereicht, worauf die Ehe am 16. Juli 2014 geschieden wurde. Im gleichen Zeitraum (Juli 2014) habe er in der Türkei eine Landsmännin kennengelernt und sie am 12. Oktober 2014 geheiratet.</w:t>
      </w:r>
    </w:p>
    <w:p>
      <w:r>
        <w:t>Der Beschwerdeführer hielt dem entgegen, der Entscheid zur Scheidung sei für ihn im November 2013 gefallen, als bei seiner Frau erneut Krebs diagnostiziert worden sei und dessen operative Behandlung eine weitere Schwangerschaft verunmöglicht hätte. Nachdem damit festgestanden habe, dass er mit ihr keine Kinder würde haben können, habe er sich von ihr getrennt. Die damalige Ehefrau bestätigte, dass sie beide sich immer eigene Kinder gewünscht hätten, obwohl ihre Fähigkeit, Kinder zu bekommen, bereits aufgrund einer früheren Krebsoperation stark beeinträchtigt gewesen sei. Es sei für sie eine grosse Belastung gewesen, jeden Monat aufs Neue zu hoffen, schwanger zu werden, nur um immer wieder enttäuscht zu werden. Für das Bundesverwaltungsgericht ist die Erklärung des Beschwerdeführers vor diesem Hintergrund nicht plausibel, dass er sich erst nach der Krebsdiagnose vom November 2013 Gedanken darüber zu machen begann, sich von seiner Frau zu trennen. Eine so wichtige Entscheidung fälle man nicht in so kurzer Zeit, und die Diagnose, welche die Hoffnung auf gemeinsame Kinder endgültig zerstört habe, sei nicht unerwartet gekommen, sondern die beiden Ehegatten hätten bereits viel früher gewusst, dass die Chancen auf gemeinsame Kinder aus medizinischen Gründen stark beeinträchtigt waren.</w:t>
      </w:r>
    </w:p>
    <w:p>
      <w:r>
        <w:rPr>
          <w:b/>
        </w:rPr>
        <w:t>E. 3.2</w:t>
      </w:r>
    </w:p>
    <w:p>
      <w:r>
        <w:t>Die engen Zeitabläufe - insbesondere erfolgte der Entschluss des Beschwerdeführers, sich scheiden zu lassen, bloss rund drei Monate nach der Einbürgerung - lassen klarerweise die Vermutung zu, dass sich der Beschwerdeführer bereits vor der Einbürgerung Gedanken über die Fortführung der Ehe machte und für den Fall fortbestehender Unfruchtbarkeit der Gattin eine Scheidung in Betracht zog.</w:t>
      </w:r>
    </w:p>
    <w:p>
      <w:r>
        <w:t>Weiter ergibt sich insbesondere aus den Aussagen des Beschwerdeführers, dass für ihn die Erfüllung des Kinderwunsches zentraler Bestandteil des Ehezwecks war und damit eine zwingende Voraussetzung für deren Fortführung darstellte. Dementsprechend leitete er auch umgehend deren Auflösung ein, als im November 2013 definitiv feststand, dass seine Ehefrau keine Kinder mehr bekommen kann. Das bedeutet aber auch, dass sein erklärter Wille, die Ehe fortführen zu wollen, bereits in den Jahren zuvor und jedenfalls lange vor der Einbürgerung unter dem mentalen Vorbehalt stand, dass ihm seine Ehefrau ein gemeinsames Kind gebären würde. Indem der Beschwerdeführer diesen Vorbehalt für sich behielt und in der gemeinsamen Erklärung vom 27. August 2013 nicht erwähnte, dass er seinen Willen auf Fortführung der Ehe von der Geburt eines gemeinsamen Kindes abhängig machte, verheimlichte er den Behörden (und wohl auch seiner Frau) eine für die erleichterte Einbürgerung erhebliche Tatsache, was deren Nichtigerklärung rechtfertigt. Die Beschwerde ist unbegründet.</w:t>
      </w:r>
    </w:p>
    <w:p>
      <w:r>
        <w:rPr>
          <w:b/>
        </w:rPr>
        <w:t>E. 4</w:t>
      </w:r>
    </w:p>
    <w:p>
      <w:r>
        <w:t>Die Beschwerde ist somit abzuweisen. Bei diesem Ausgang des Verfahrens trägt der Beschwerdeführer dessen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