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1C_693/2021 vom 3. Mai 2023</w:t>
      </w:r>
    </w:p>
    <w:p>
      <w:r>
        <w:t>Bundesgericht, 2023-05-03, FR</w:t>
      </w:r>
    </w:p>
    <w:p>
      <w:r>
        <w:rPr>
          <w:b/>
        </w:rPr>
        <w:t xml:space="preserve">Quelle: </w:t>
      </w:r>
      <w:r>
        <w:t>https://mcp.opencaselaw.ch/entscheid/bger_1C_693_2021</w:t>
      </w:r>
    </w:p>
    <w:p>
      <w:r>
        <w:t>FR: TF 1C_693/2021 du 3 mai 2023</w:t>
      </w:r>
    </w:p>
    <w:p>
      <w:r>
        <w:t>IT: TF 1C_693/2021 del 3 maggio 2023</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Il n'est pas contesté que les recourants, pour leur majorité, résident à l'intérieur du périmètre de protection défini par la jurisprudence ( ATF 133 I 409 consid. 1.3; 128 II 168 consid. 2.3) et sont donc particulièrement touchés par l'arrêt attaqué qui autorise l'installation litigieuse; ils peuvent ainsi se prévaloir d'un intérêt personnel et digne de protection à son annulation ou à sa modification et ont dès lors qualité pour agir au sens de l' art. 89 al. 1 LTF , sans qu'il n'y ait lieu d'examiner la question pour chaque recourant individuellement.</w:t>
      </w:r>
    </w:p>
    <w:p>
      <w:r>
        <w:t>Les autres conditions de recevabilité sont remplies si bien qu'il convient d'entrer en matière sur le recours en matière de droit public.</w:t>
      </w:r>
    </w:p>
    <w:p>
      <w:r>
        <w:rPr>
          <w:b/>
        </w:rPr>
        <w:t>E. 2</w:t>
      </w:r>
    </w:p>
    <w:p>
      <w:r>
        <w:t>Invoquant les art. 99 et 105 al. 2 LTF , les recourants entendent compléter l'état de fait retenu par la cour cantonale et faire valoir des moyens de preuve nouveaux. Ils produisent diverses pièces récentes concernant d'une part la méthode transitoire dite du "worst case scenario" pour les antennes adaptatives (la cour cantonale ayant considéré sans autre justification que cette méthode était conforme au droit fédéral), et d'autre part l'effet des rayonnements non ionisants sur la santé, afin de réfuter l'affirmation de la cour cantonale selon laquelle il n'y aurait pas d'indices en faveur d'une modification des valeurs limites.</w:t>
      </w:r>
    </w:p>
    <w:p>
      <w:r>
        <w:rPr>
          <w:b/>
        </w:rPr>
        <w:t>E. 2.1</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w:t>
      </w:r>
    </w:p>
    <w:p>
      <w:r>
        <w:rPr>
          <w:b/>
        </w:rPr>
        <w:t>E. 2.2</w:t>
      </w:r>
    </w:p>
    <w:p>
      <w:r>
        <w:t>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 Tel est le cas notamment de l'article paru dans le magazine K-Tipp le 19 octobre 2021 ("Handy-Antennen: Jede fünfte strahlt zu stark"), des pièces produites en annexe aux observations du 4 juillet 2022 et de l'ensemble des pièces qui n'ont pas été soumises à l'instance précédente; ces moyens de preuve sont par conséquent irrecevables.</w:t>
      </w:r>
    </w:p>
    <w:p>
      <w:r>
        <w:rPr>
          <w:b/>
        </w:rPr>
        <w:t>E. 3</w:t>
      </w:r>
    </w:p>
    <w:p>
      <w:r>
        <w:t>Les recourants se plaignent en premier lieu d'une violation du principe de la légalité ( art. 5 Cst. ) en relation avec les principes de séparation des pouvoirs, de durabilité, de précaution et de prévention ( art. 73 et 74 Cst. ) ainsi que le droit à un environnement sain ( art. 2 et 8 CEDH ). Ils estiment qu'il appartenait au législateur fédéral de poser lui-même le cadre légal minimal concernant le déploiement de la 5G, avec possibilité de référendum. Cette technologie se serait développée sans participation démocratique ni consultation: la Commission fédérale de la communication (Comcom) a attribué en 2019 les nouvelles fréquences (700, 1400 et 3500 MHz), impliquant l'installation de 26'000 nouvelles antennes sur le territoire suisse, sans tenir compte des nombreuses oppositions de scientifiques et d'autorités, notamment certains cantons qui ont tenté d'instituer des moratoires. Compte tenu des questions qui restent indécises (méthodologie de mesures du rayonnement, développement des infrastructures, consommation d'électricité) et de l'opposition de la population, l'adoption préalable d'une base légale formelle serait nécessaire.</w:t>
      </w:r>
    </w:p>
    <w:p>
      <w:r>
        <w:rPr>
          <w:b/>
        </w:rPr>
        <w:t>E. 3.1</w:t>
      </w:r>
    </w:p>
    <w:p>
      <w:r>
        <w:t>Selon l' art. 73 Cst. , la Confédération et les cantons oeuvrent à l'établissement d'un équilibre durable entre la nature, en particulier sa capacité de renouvellement, et son utilisation par l'être humain. Selon l' art. 74 Cst. , La Confédération légifère sur la protection de l'être humain et de son environnement contre les atteintes nuisibles ou incommodantes (al. 1). Elle veille à prévenir les atteintes nuisibles ou incommodantes pour l'être humain et son environnement naturel (al. 2).</w:t>
      </w:r>
    </w:p>
    <w:p>
      <w:r>
        <w:t>La protection contre les immissions est régie par la loi fédérale sur la protection de l'environnement (LPE; RS 814.01) et ses ordonnances d'application. Selon l' art. 1 al. 1 LPE , la loi sur la protection de l'environnement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 art. 1 al. 2 LPE ). Les émissions de rayonnement font partie de ces atteintes ( art. 7 al. 1 LPE ); elles sont limitées par des mesures prises à la source (limitation des émissions; art. 11 al. 1 LPE ), notamment par l'application de valeurs limites d'émissions ( art. 12 al. 1 let. a LPE ) figurant dans des ordonnances ou, pour les cas que celles-ci n'ont pas visé, dans des décisions directement fondées sur la loi ( art. 12 al. 2 LPE ). A titre préventif, les émissions doivent être limitées indépendamment de la pollution existante, dans la mesure où l'état de la technique et les conditions d'exploitation le permettent, et pour autant que cela soit économiquement supportable ( art. 11 al. 2 LPE ). S'il est établi ou s'il y a lieu de présumer que les atteintes, eu égard à la charge actuelle de l'environnement, deviendront nuisibles ou incommodantes, les émissions seront limitées plus sévèrement ( art. 11 al. 3 LPE ).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 art. 13 LPE ). Selon l' art. 14 let. a LPE , les valeurs limites d'immissions doivent être fixées de manière que les immissions inférieures à ces valeurs ne mettent pas en danger, selon l'état de la science et l'expérience, l'homme, les animaux et les plantes, leurs biocénoses et leurs biotopes (cf. ATF 146 II 17 consid. 6.5; 126 II 399 consid. 4b; 124 II 219 consid. 7a; arrêts 1C_100/2021 du 14 février 2023 consid. 5.3.1; 1C_375/2020 du 5 mai 2021 consid. 3.2.1; 1C_450/2010 du 12 avril 2011 consid. 3.3, in: URP 2011, p. 434 s.).</w:t>
      </w:r>
    </w:p>
    <w:p>
      <w:r>
        <w:t>S'agissant de la protection contre le rayonnement non ionisant généré par l'exploitation d'installations stationnaires, le Conseil fédéral a édicté l'ORNI. En application du principe de prévention posé à l' art. 11 al. 2 LPE et repris à l' art. 4 al. 1 ORNI ,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 dans le mode d'exploitation déterminant (ch. 15 annexe 1 ORNI).</w:t>
      </w:r>
    </w:p>
    <w:p>
      <w:r>
        <w:rPr>
          <w:b/>
        </w:rPr>
        <w:t>E. 3.2</w:t>
      </w:r>
    </w:p>
    <w:p>
      <w:r>
        <w:t>Sur le vu des normes de compétence et de délégation figurant dans la Constitution, respectivement dans la loi formelle ( art. 12 al. 2, art. 13 LPE ), le principe de la légalité ( art. 36 al. 1 Cst. ), en particulier celui de la réserve de la loi, est pleinement respecté. Contrairement à ce que soutiennent les recourants, la technologie 5G (New Radio) ne fait pas l'objet d'une réglementation spéciale dans l'ORNI, les valeurs limites étant uniquement fixées en fonction de la fréquence du rayonnement. La fixation des valeurs limites dans une ordonnance présente en outre l'avantage d'une possibilité d'adaptation plus rapide en fonction de l'évolution des connaissances scientifiques. Quant à la multiplication des antennes de téléphonie mobile, elle découle de l'obligation de couverture fixée dans la Constitution ( art. 92 al. 2 Cst. ) et précisée dans la loi au sens formel (loi sur les télécommunication - LTC, RS 784.10) qui fixe notamment les principes du service universel sûr et d'une concurrence efficace (art. 1 al. 2 let. a à c LTC).</w:t>
      </w:r>
    </w:p>
    <w:p>
      <w:r>
        <w:t>Les recourants ne parviennent pas, cela étant, à démontrer en quoi l'introduction de la 5G nécessiterait une base légale formelle supplémentaire au cadre existant. Dans la mesure où il serait suffisamment motivé, le grief doit être écarté.</w:t>
      </w:r>
    </w:p>
    <w:p>
      <w:r>
        <w:rPr>
          <w:b/>
        </w:rPr>
        <w:t>E. 4</w:t>
      </w:r>
    </w:p>
    <w:p>
      <w:r>
        <w:t>Les recourants invoquent le principe de précaution. Tout en critiquant les facteurs de correction prévus pour les antennes adaptatives dans l'aide à l'exécution de l'OFEV du 23 février 2021 (Complément du 23 février 2021 à la recommandation d'exécution de l'ORNI concernant les stations de base pour téléphonie mobile et raccordements sans fil [WLL], OFEFP, 2002), ils admettent que la méthode de calcul prévue pour les antennes adaptatives n'a pas été appliquée dans le cas particulier. Ils estiment que rien ne permettait d'appliquer aux antennes adaptatives la méthode de calcul prévue pour les antennes conventionnelles, alors que selon le ch. 63 de l'annexe 1 ORNI, la variabilité des directions d'émission et des diagrammes d'antennes doit être prise en considération. Se référant à un arrêt rendu par le Tribunal administratif du canton de Zurich le 15 janvier 2021, les recourants relèvent que le rayonnement d'une antenne adaptative peut être supérieur à celui qui figure dans la fiche de données spécifique. La méthodologie du "worst case scenario" selon la directive précédente de l'OFEV du 17 avril 2019 ne tiendrait pas compte des "pics" d'intensité qui peuvent être très élevés.</w:t>
      </w:r>
    </w:p>
    <w:p>
      <w:r>
        <w:rPr>
          <w:b/>
        </w:rPr>
        <w:t>E. 4.1</w:t>
      </w:r>
    </w:p>
    <w:p>
      <w:r>
        <w:t>S'agissant des stations émettrices pour téléphonie mobile et raccordements téléphoniques sans fil,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Les valeurs limites sont fixées par le Conseil fédéral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La jurisprudence constante considère que le principe de prévention est réputé respecté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 Il appartient toutefois à l'autorité fédérale spécialisée, soit l'OFEV, de suivre l'évolution de la recherche et des connaissances en la matière. Cela étant, vu la marge de manoeuvre dont dispose le Conseil fédéral s'agissant de l'établissement des valeurs limites, seuls de solides éléments démontrant de nouvelles connaissances fondées scientifiquement justifient de remettre en cause ces valeurs (arrêts 1C_518/2018 du 14 avril 2020 consid. 5.1.1 et les arrêts cités; 1C_323/2017 du 15 janvier 2018 consid. 2.5).</w:t>
      </w:r>
    </w:p>
    <w:p>
      <w:r>
        <w:rPr>
          <w:b/>
        </w:rPr>
        <w:t>E. 4.2</w:t>
      </w:r>
    </w:p>
    <w:p>
      <w:r>
        <w:t>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w:t>
      </w:r>
    </w:p>
    <w:p>
      <w:r>
        <w:t>Beamforming; OFEV, Explications concernant les antennes adaptatives et leur évaluation selon l'ordonnance sur la protection contre le rayonnement non ionisant [ORNI], du 23 février 2021 - ci-après: OFEV, Explications -, ch. 4.2 p. 7). Pour tenir compte de ce type d'antennes, une modification de l'ORNI a été adoptée le 17 avril 2019.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w:t>
      </w:r>
    </w:p>
    <w:p>
      <w:r>
        <w:t>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"pire des cas",</w:t>
      </w:r>
    </w:p>
    <w:p>
      <w:r>
        <w:t>worst case; OFEV, Explications, ch. 5.4 p. 12).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sure et que l'exposition à long terme soit maintenue à un niveau bas dans tous les cas, compte tenu du principe de précaution et en raison des questions techniques qui restaient alors encore ouvertes.</w:t>
      </w:r>
    </w:p>
    <w:p>
      <w:r>
        <w:rPr>
          <w:b/>
        </w:rPr>
        <w:t>E. 4.3</w:t>
      </w:r>
    </w:p>
    <w:p>
      <w:r>
        <w:t>Comme l'a relevé le Tribunal fédéral dans son arrêt de principe récent (1C_100/2021 du 14 février 2023 consid. 6.2.2), la position de l'autorité compétente, encore confirmée au terme de ses observations dans la présente procédure, n'est pas contestable: alors que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w:t>
      </w:r>
    </w:p>
    <w:p>
      <w:r>
        <w:t>Cette évaluation est directement fondée sur le principe de précaution et les recourants ne sauraient ainsi prétendre qu'elle serait dénuée de base légale. Cela étant, il n'y a pas lieu, dans le cadre de la présente procédure, d'examiner si la définition du mode d'exploitation déterminant selon le ch. 63 de l'annexe 1 ORNI est également conforme à ce principe.</w:t>
      </w:r>
    </w:p>
    <w:p>
      <w:r>
        <w:rPr>
          <w:b/>
        </w:rPr>
        <w:t>E. 5</w:t>
      </w:r>
    </w:p>
    <w:p>
      <w:r>
        <w:t>Les recourants estiment ensuite que les valeurs limites de l'ORNI devraient faire l'objet d'un contrôle préjudiciel à la lumière des art. 11 al. 2 LPE et 74 al. 2 Cst. Ils relèvent que les émissions de différentes antennes peuvent se cumuler et impliquer un dépassement de ces valeurs dans un LUS, en particulier lorsque plusieurs antennes d'opérateurs différents desservent un même lieu. En outre, la définition des valeurs limites ne tiendrait pas compte des découvertes récentes sur les effets athermiques tels que le stress oxydatif et ses incidences sur les cellules. Alors que le Conseil de l'Europe préconise une valeur limite de 0,2 V/m, le Tribunal fédéral a considéré que cette valeur ne se rapportait qu'aux appareils mobiles. On ne verrait toutefois pas, selon les recourants, en quoi le rayonnement d'une antenne serait différent de celui d'un appareil individuel. D'autres rapports (étude Bioinitiative 2012 et organisme allemand de Biologie du bâtiment) préconiseraient une valeur bien inférieure de 0,04 V/m. S'appuyant sur un rapport du Service de recherche du Parlement européen, les recourants relèvent encore que parallèlement au mode et à la durée de l'exposition, les caractéristiques du signal de la 5G, comme les pulsations, peuvent augmenter les risques d'altération de l'ADN, considérée comme une cause de cancer.</w:t>
      </w:r>
    </w:p>
    <w:p>
      <w:r>
        <w:rPr>
          <w:b/>
        </w:rPr>
        <w:t>E. 5.1</w:t>
      </w:r>
    </w:p>
    <w:p>
      <w:r>
        <w:t>Les objections des recourants ont été examinées dans le détail dans l'arrêt de principe récent 1C_100/2021 précité. Il y a lieu de se référer au considérant pertinent de cet arrêt (consid. 5).</w:t>
      </w:r>
    </w:p>
    <w:p>
      <w:r>
        <w:rPr>
          <w:b/>
        </w:rPr>
        <w:t>E. 5.1.1</w:t>
      </w:r>
    </w:p>
    <w:p>
      <w:r>
        <w:t>Afin de concrétiser le principe de précaution selon les art. 1 al. 2 et 11 al. 2 LPE, le Conseil fédéral a fixé des valeurs limites de l'installation qui sont inférieures aux valeurs limites d'immissions. Les valeurs limites de l'installation ne présentent pas de lien direct avec des dangers avérés pour la santé, mais ont été fixées en fonction des critères de l' art. 11 al. 2 LPE , soit de l'état de la technique, des conditions d'exploitation et du caractère économiquement supportable, afin de réduire au maximum le risque d'effets nocifs, dont certains ne sont que supposés et pas encore prévisibles ( ATF 126 II 399 consid. 3b). En fixant les valeurs limites de l'installation, le Conseil fédéral a ménagé une marge de sécurité afin de prévenir les dangers avérés pour la santé (cf. ATF 128 II 378 consid. 6.2.2). L'autorité compétente, soit l'OFEV, continue à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 1C_518/2018 du 14 avril 2020 consid. 5.1.1 et les arrêts cités).</w:t>
      </w:r>
    </w:p>
    <w:p>
      <w:r>
        <w:rPr>
          <w:b/>
        </w:rPr>
        <w:t>E. 5.1.2</w:t>
      </w:r>
    </w:p>
    <w:p>
      <w:r>
        <w:t>En 2014, l'OFEV a créé le groupe consultatif d'experts en matière de rayonnement non ionisant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Les évaluations de BERENIS sont publiées tous les trimestres sous forme de newsletter. Au niveau international, ce travail est effectué par l'Organisation mondiale de la santé (OMS) et son agence spécialisée dans le cancer, le Centre international de recherche sur le cancer (CIRC), et la Commission internationale de protection contre les rayonnements non ionisants (ICNIRP).</w:t>
      </w:r>
    </w:p>
    <w:p>
      <w:r>
        <w:rPr>
          <w:b/>
        </w:rPr>
        <w:t>E. 5.1.3</w:t>
      </w:r>
    </w:p>
    <w:p>
      <w:r>
        <w:t>Le groupe de travail "Téléphonie mobile et rayonnements"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 cellules seraient particulièrement sensibles (rapport précité sur la téléphonie mobile et les rayonnements du 18 novembre 2019, pp 58 ss, 66).</w:t>
      </w:r>
    </w:p>
    <w:p>
      <w:r>
        <w:rPr>
          <w:b/>
        </w:rPr>
        <w:t>E. 5.1.4</w:t>
      </w:r>
    </w:p>
    <w:p>
      <w:r>
        <w:t>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valeurs limites d'immissions,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valeurs limites de l'installation de l'ORNI pour les immissions des stations émettrices fixes.</w:t>
      </w:r>
    </w:p>
    <w:p>
      <w:r>
        <w:t>L'édition spéciale de la newsletter BERENIS de janvier 2021, citée par les recourants,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w:t>
      </w:r>
    </w:p>
    <w:p>
      <w:r>
        <w:rPr>
          <w:b/>
        </w:rPr>
        <w:t>E. 5.2</w:t>
      </w:r>
    </w:p>
    <w:p>
      <w:r>
        <w:t>L'ORNI a été complétée par une modification du 17 avril 2019, notamment par l'article 19b. L'OFEV, en tant que service spécialisé de la Confédération en matière d'environnement, s'est ainsi vu confier la tâche de relever les immissions de rayonnement non ionisant dans l'environnement et de publier périodiquement une vue d'ensemble nationale de l'exposition de la population au rayonnement. En outre, l'OFEV doit procéder à l'évaluation des risques et informer périodiquement sur l'état de la science concernant les effets du rayonnement sur l'homme et l'environnement (cf. OFEV, Explications, Exposition aux antennes adaptatives - ch. 6 -, études de simulation récentes - ch. 6.1 -, Etudes de mesures - ch. 6.2 -, Mesures et simulations réalisées par l'OFCOM - ch. 6.3). L'accent est mis sur la charge de rayonnement non ionisant due aux installations réglementées par l'ORNI (OFEV, Explications relatives à la modification de l'ORNI, Train d'ordonnances sur l'environnement, printemps 2019, 17 avril 2019, p. 7). Dans ses déterminations, l'OFEV relève que ce monitoring renforcera les bases scientifiques pour l'étude des effets sur la santé de la population et pourrait notamment être utile pour des études épidémiologiques.</w:t>
      </w:r>
    </w:p>
    <w:p>
      <w:r>
        <w:t>En l'état des connaissances, la limitation préventive des émissions par l'application des valeurs limites actuelles respecte le principe de prévention (arrêt précité 1C_100/2021 consid. 5 et les nombreuses autres références aux études et articles récents sur ce sujet).</w:t>
      </w:r>
    </w:p>
    <w:p>
      <w:r>
        <w:rPr>
          <w:b/>
        </w:rPr>
        <w:t>E. 5.3</w:t>
      </w:r>
    </w:p>
    <w:p>
      <w:r>
        <w:t>S'agissant du cumul des émissions, le ch. 62 de l'annexe 1 ORNI prévoit que les groupes d'antennes émettant dans des conditions de proximité spatiale comptent comme une seule installation, indépendamment de l'ordre dans lequel ils ont été construits ou modifié (al. 2). Deux groupes d'antennes émettent dans des conditions de proximité spatiale lorsqu'au moins une antenne de chaque groupe se trouve dans le périmètre de l'autre groupe. Ainsi, comme le relève l'OFEV, pour que la valeur limite d'immission puisse être dépassée dans un LUS donné, il faudrait que plus de 100 stations émettent en épuisant les valeurs limites de l'installation (VLInst) sans se trouver dans un rapport spatial étroit. Un tel scénario serait totalement irréaliste, tant actuellement qu'à l'avenir.</w:t>
      </w:r>
    </w:p>
    <w:p>
      <w:r>
        <w:rPr>
          <w:b/>
        </w:rPr>
        <w:t>E. 5.4</w:t>
      </w:r>
    </w:p>
    <w:p>
      <w:r>
        <w:t>Par rapport à la 3G et à la 4G, la 5G présente des caractéristiques similaires en ce qui concerne la transmission du signal. Selon les lignes directrices de l'ICNIRP de 2020, il n'existe pas de preuve d'une différence d'effets biologiques entre les rayonnements électro-magnétiques continus et discontinus (par exemple pulsés); il y a encore trop peu d'évaluations systématiques et les preuves sont encore insuffisantes pour pouvoir juger si certaines formes de signaux ont un effet biologique particulier. L'affirmation du Service de recherche du Parlement européen de février 2020, citée par les recourants, ne correspond notamment pas à un consensus scientifique.</w:t>
      </w:r>
    </w:p>
    <w:p>
      <w:r>
        <w:t>Sur ce point également, une adaptation des valeurs limites de l'ORNI ne se justifie pas, les recourants ne faisant pas valoir d'arguments supplémentaires à ceux qui sont traités dans l'arrêt précité 1C_100/2021 (consid. 5.6 et les études mentionnées).</w:t>
      </w:r>
    </w:p>
    <w:p>
      <w:r>
        <w:rPr>
          <w:b/>
        </w:rPr>
        <w:t>E. 6</w:t>
      </w:r>
    </w:p>
    <w:p>
      <w:r>
        <w:t>Les recourants critiquent ensuite le système d'assurance qualité mis en place à la suite de l'arrêt du Tribunal fédéral 1A.160/2004 et de la circulaire de l'OFEV du 16 janvier 2006, et destiné à contrôler le respect de la puissance émettrice et des directions de propagation. Selon eux, le Tribunal fédéral aurait commencé à émettre des doutes, dans un arrêt de 2019 (1C_97/2018 du 3 septembre 2019), quant à la fiabilité et au fonctionnement de ce système. Avec l'introduction d'antennes adaptatives, la vérification en temps réel de la puissance, du diagramme d'antenne et des directions d'émission (actuellement, cette vérification n'a lieu qu'une fois par jour ouvrable) ne seraient pas possible. Une étude récente fondée sur les données officielles (Etude K-Tipp) aurait démontré qu'un quart ou un cinquième des antennes présentaient des dépassements des valeurs légales. Les recourants mettent aussi en doute les valeurs figurant dans les fiches de données spécifique, soutenant que pour être opérationnelles, les antennes devraient fortement dépasser la puissance annoncée.</w:t>
      </w:r>
    </w:p>
    <w:p>
      <w:r>
        <w:rPr>
          <w:b/>
        </w:rPr>
        <w:t>E. 6.1</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ERP) et les directions de propagation de toutes les antennes du réseau avec les valeurs et les directions autorisées.</w:t>
      </w:r>
    </w:p>
    <w:p>
      <w:r>
        <w:t>L'OFEV indique dans ses déterminations que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Suite au complément du 23 février 2021, les opérateurs ont dû adapter leur système AQ afin que ceux-ci permettent de contrôler les paramètres des antennes adaptatives: dans le mode d'exploitation déterminant, les prévisions sont calculées comme on l'a vu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de sorte que les objections des recourants apparaissent sans fondement.</w:t>
      </w:r>
    </w:p>
    <w:p>
      <w:r>
        <w:rPr>
          <w:b/>
        </w:rPr>
        <w:t>E. 6.2</w:t>
      </w:r>
    </w:p>
    <w:p>
      <w:r>
        <w:t>Dans son arrêt 1C_97/2018 du 3 septembre 2019,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t>Dans ses déterminations, l'OFEV indique qu'il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Après une enquête écrite auprès des cantons en 2020, il est apparu que certains d'entre eux menaient déjà des contrôles sur place. Un groupe d'accompagnement a été créé et est en train de définir la procédure à suivre pour ce type de contrôles. Cet examen à l'échelle nationale permettra de vérifier si les systèmes d'assurance qualité fonctionnent correctement.</w:t>
      </w:r>
    </w:p>
    <w:p>
      <w:r>
        <w:t>En l'état, il n'y a pas lieu de douter de manière générale de la fiabilité des systèmes AQ, y compris pour les antennes adaptatives (arrêt précité 1C_100/2021 consid. 9.5.5).</w:t>
      </w:r>
    </w:p>
    <w:p>
      <w:r>
        <w:rPr>
          <w:b/>
        </w:rPr>
        <w:t>E. 7</w:t>
      </w:r>
    </w:p>
    <w:p>
      <w:r>
        <w:t>Invoquant leur droit d'être entendus, les recourants relèvent que selon la fiche de données spécifique, la valeur limite d'installation pour le LUS n° 4 est presque atteinte (4,95 V/m); alors qu'ils avaient requis que la constructrice soit interpellée afin de démontrer que la puissance ne pourra pas être augmentée à l'avenir, la cour cantonale n'aurait pas donné suite à cette réquisition, alors que l'emplacement du LUS en question pourrait être en réalité plus proche de l'antenne litigieuse. Les recourants contestent en outre que les bâtiments situés à proximité immédiate puissent être considérés comme des lieux de séjour momentané (LSM), en particulier la réception du centre de sport qui comprend un poste de travail permanent.</w:t>
      </w:r>
    </w:p>
    <w:p>
      <w:r>
        <w:rPr>
          <w:b/>
        </w:rPr>
        <w:t>E. 7.1</w:t>
      </w:r>
    </w:p>
    <w:p>
      <w:r>
        <w:t>S'agissant du LUS n° 4, l'OFEV indique qu'il a recalculé l'intensité du rayonnement en corrigeant l'angle d'inclinaison mécanique de certaines antennes. Le résultat est de 4,97 V/m, certes plus proche encore de la VLInst qui est de 5 V/m (ch. 64 let. c annexe 1 ORNI), mais toujours inférieure à celle-ci. Les recourants désirent obtenir la garantie que la puissance de l'installation ne pourra pas être augmentée dans l'avenir, mais cette question relève de l'assurance qualité, examinée ci-dessus. Le permis de construire reprend d'ailleurs les conditions posées par le SEn dans son préavis, et prévoit la réalisation de mesures in situ dès la mise en service des antennes, au plus tard dans les 180 jours suivants. Les recourants affirment, sur la base d'une simple photographie extérieure du bâtiment concerné, qu'il "se pourrait que le LUS n° 4 n'ait pas été situé de façon correcte et qu'il soit en réalité plus proche du lieu du bâtiment litigieux". Les pièces en question (qui sont au demeurant nouvelles au sens rappelé au consid. 2 ci-dessus, et par conséquent irrecevables) montrent une fenêtre différente du bâtiment (route des Sports 64, dernier étage), mais les recourants n'apportent aucune indication sur la répartition interne des locaux qui permettrait de mettre en doute la localisation exacte du LUS en question. L'OFEV a d'ailleurs procédé à ses vérifications sans remettre en cause cette localisation.</w:t>
      </w:r>
    </w:p>
    <w:p>
      <w:r>
        <w:rPr>
          <w:b/>
        </w:rPr>
        <w:t>E. 7.2</w:t>
      </w:r>
    </w:p>
    <w:p>
      <w:r>
        <w:t>A teneur de l' art. 3 al. 3 ORNI , les lieux à utilisation sensible (LUS) comprennent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Parmi les exemples de LUS, on peut mentionner les habitations, y compris les cuisines et les salles de bains (cf. ATF 128 II 340 )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(www.bafu.admin.ch&gt;Thèmes&gt; Electrosmog et lumière&gt;Informations pour spécialistes&gt;Mesures&gt;Lieux à utilisation sensible LUS). Les installations sportives et de loisirs ainsi que les piscines ne sont pas considérées comme des LUS (arrêt 1C_44/2011 du 27 septembre 2011 consid. 5.1). Par poste de travail permanent, il faut entendre un poste dans lequel un travailleur - ou plusieurs successivement - se tient pendant plus de deux jours et demi par semaine; il peut s'agir d'une petite partie d'un local ou du local entier, en particulier s'agissant de lieux de travail spacieux comme des étables, restaurants ou magasins.</w:t>
      </w:r>
    </w:p>
    <w:p>
      <w:r>
        <w:rPr>
          <w:b/>
        </w:rPr>
        <w:t>E. 7.2.1</w:t>
      </w:r>
    </w:p>
    <w:p>
      <w:r>
        <w:t>L'intimée relève que les recourants font valoir pour la première fois que la réception du centre de tennis devrait être considérée comme un LUS. L'argument n'en est pas moins recevable, puisqu'il s'agit d'une question régie par le droit fédéral et que le Tribunal fédéral est tenu de l'examiner d'office ( art. 106 al. 1 LTF ). En revanche, comme cela est relevé ci-dessus, les pièces fournies à l'appui du grief sont nouvelles et, partant, irrecevables.</w:t>
      </w:r>
    </w:p>
    <w:p>
      <w:r>
        <w:rPr>
          <w:b/>
        </w:rPr>
        <w:t>E. 7.2.2</w:t>
      </w:r>
    </w:p>
    <w:p>
      <w:r>
        <w:t>Sur le vu de ce qui précède, le centre de tennis situé à proximité immédiate de l'installation ne saurait être considéré en soi comme un LUS. En revanche, il n'est pas contesté que ce centre comporte notamment une réception, soit une partie du bâtiment occupée par un ou plusieurs employés durant une période prolongée. L'intimée l'admet, en indiquant que la réception du club de tennis aurait été considérée comme un LUS mais que quatre autres LUS mentionnés dans la fiche de données spécifique présenteraient une charge de rayonnement supérieure. Il apparaît toutefois que le bâtiment abritant le club de tennis est indiqué dans la fiche de données comme lieu de séjour momentané (LSM) avec la remarque (p. 5 de la fiche) que "la réception du tennis n'a pas de vue aux antennes". On peut ainsi douter qu'il ait été considéré et traité comme un LUS. Quoiqu'il en soit, il ressort clairement du plan que, mis à part le pied du mât (LUS 1), le bâtiment du club de tennis se trouve nettement plus proche de l'installation que les trois autres LUS reconnus dans la fiche de données spécifique (n° 2, 3 et 4), lesquels se situent à des distances de 272, 331 et 135 mètres. En l'état, il n'est pas possible de déterminer si le lieu en question doit être considéré comme un LUS compte tenu de son occupation, ni quelle est la charge de rayonnement au vu notamment de sa situation précise et des éventuels facteurs d'atténuation. L'intimée se dit d'ailleurs prête à produire une nouvelle fiche de données spécifique intégrant le centre de tennis comme LUS. Une telle instruction ne peut toutefois pas être ordonnée devant le Tribunal fédéral, car elle nécessite préalablement que les faits pertinents soient établis, ce qui ne peut être fait dans le cadre de la présente procédure ( art. 105 al. 1 et 2 LTF ). La cause doit par conséquent être renvoyée à l'instance précédente, à qui il appartiendra de procéder aux compléments d'instruction nécessaires. Le recours doit par conséquent être admis sur ce point.</w:t>
      </w:r>
    </w:p>
    <w:p>
      <w:r>
        <w:rPr>
          <w:b/>
        </w:rPr>
        <w:t>E. 8</w:t>
      </w:r>
    </w:p>
    <w:p>
      <w:r>
        <w:t>Les recourants estiment enfin que, compte tenu du nombre considérable d'antennes liées au développement de la 5G (26'000, soit plus du double qu'actuellement), il en résulterait des effets majeurs sur l'organisation du territoire au sens de l' art. 2 LAT , ce qui nécessiterait une planification selon l' art. 8 al. 2 LAT . Dans un arrêt de 2004 (alors que seul le réseau GSM existait), le Tribunal fédéral avait considéré qu'un ancrage des dispositions utiles dans le plan directeur serait souhaitable. Une coordination par la planification (directrice ou, tout au moins, communale ou intercommunale) serait d'autant plus souhaitable au vu de la concurrence entre opérateurs, afin d'éviter une prolifération incontrôlée.</w:t>
      </w:r>
    </w:p>
    <w:p>
      <w:r>
        <w:rPr>
          <w:b/>
        </w:rPr>
        <w:t>E. 8.1</w:t>
      </w:r>
    </w:p>
    <w:p>
      <w:r>
        <w:t>Selon l' art. 8 al. 2 LAT , les projets qui ont des incidences importantes sur le territoire et l'environnement doivent avoir été prévus dans le plan directeur. Selon la jurisprudence, le droit fédéral exige que, lors de l'accomplissement de tâches d'aménagement, l'instrument de planification ou de décision adéquat soit utilisé ( ATF 140 II 262 consid. 2.3.1). Les plans directeurs doivent montrer comment il faut faire concorder les activités qui influent sur l'organisation du territoire, au niveau national, régional et cantonal. Ils traitent des questions d'importance cantonale ou supracommunale ou qui nécessitent une coordination importante. Relèvent notamment du plan directeur les conflits importants entre différents intérêts relatifs à l'utilisation du sol et les projets déployant des effets considérables sur l'occupation du territoire, l'utilisation du sol ou l'environnement ou nécessitant un effort de coordination ( ATF 137 II 254 consid. 3.1-3.2). L'élément décisif à prendre en considération est de savoir si le projet nécessite un examen global et complet qui ne peut être garanti que par un processus d'élaboration du plan directeur ( ATF 137 II 254 consid. 3.3).</w:t>
      </w:r>
    </w:p>
    <w:p>
      <w:r>
        <w:rPr>
          <w:b/>
        </w:rPr>
        <w:t>E. 8.2</w:t>
      </w:r>
    </w:p>
    <w:p>
      <w:r>
        <w:t>La jurisprudence constante considère, contrairement à ce que soutiennent les recourants, que les installations de téléphonie mobile ne sont pas soumises à une obligation de planifier ( ATF 142 II 26 consid. 4.2; arrêt 1A.140/2003 du 18 mars 2004 consid. 3.2).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 ATF 142 II 26 consid. 4.2 et les arrêts cités). Une telle planification est certes possible, mais doit respecter notamment l'obligation de couverture telle qu'elle résulte du droit fédéral ( ATF 141 II 245 consid. 7.1). Une obligation de planifier, dont les recourants ne précisent d'ailleurs pas les modalités concrètes, ne saurait par conséquent être retenue.</w:t>
      </w:r>
    </w:p>
    <w:p>
      <w:r>
        <w:rPr>
          <w:b/>
        </w:rPr>
        <w:t>E. 9</w:t>
      </w:r>
    </w:p>
    <w:p>
      <w:r>
        <w:t>Sur le vu de ce qui précède, le recours doit être admis très partiellement. L'arrêt attaqué est annulé et la cause est renvoyée à la cour cantonale afin qu'elle rende une nouvelle décision après que la fiche de données spécifique ait été complétée dans le sens du consid. 7 ci-dessus. Le recours est rejeté pour le surplus. Dans la mesure où tous les autres griefs soulevés sont rejetés, l'essentiel des frais judiciaires doit être mis à la charge des recourants, de même qu'une indemnité de dépens - légèrement réduite - allouée à l'intimée Swisscom (Suisse) SA, qui obtient gain de cause avec l'assistance d'un avocat ( art. 68 al. 2 LTF ). Le solde des frais judiciaires est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