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1C_690/2023 vom 2. Februar 2024</w:t>
      </w:r>
    </w:p>
    <w:p>
      <w:r>
        <w:t>Bundesgericht, 2024-02-02, DE</w:t>
      </w:r>
    </w:p>
    <w:p>
      <w:r>
        <w:rPr>
          <w:b/>
        </w:rPr>
        <w:t xml:space="preserve">Quelle: </w:t>
      </w:r>
      <w:r>
        <w:t>https://mcp.opencaselaw.ch/entscheid/bger_1C_690_2023</w:t>
      </w:r>
    </w:p>
    <w:p>
      <w:r>
        <w:t>FR: TF 1C_690/2023 du 2 février 2024</w:t>
      </w:r>
    </w:p>
    <w:p>
      <w:r>
        <w:t>IT: TF 1C_690/2023 del 2 febbraio 2024</w:t>
      </w:r>
    </w:p>
    <w:p>
      <w:pPr>
        <w:pStyle w:val="Heading2"/>
      </w:pPr>
      <w:r>
        <w:t>Erwägungen</w:t>
      </w:r>
    </w:p>
    <w:p>
      <w:r>
        <w:rPr>
          <w:b/>
        </w:rPr>
        <w:t>E. 1</w:t>
      </w:r>
    </w:p>
    <w:p>
      <w:r>
        <w:t>Am 10. Mai 2023 entzog das Strassenverkehrsamt des Kantons Lu-zern A.________ den Führerausweis und den Lernfahrausweis der Ka-tegorie 121 vorsorglich bis zur Abklärung von Ausschlussgründen und machte die Prüfung der Wiedererteilung dieser Ausweise von ver-schiedenen Bedingungen abhängig, namentlich der Einhaltung einer zwölfmonatigen Alkohol- und Medikamentenabstinenz. Gegen diesen Entscheid gelangte A.________ an das Kantonsgericht Luzern, das am 17. Oktober 2023 auf die Beschwerde nicht eintrat. Auf die dage-gen erhobene Beschwerde von A.________ trat das Bundesgericht mit Urteil 1C_583/2023 vom 28. November 2023 ebenfalls nicht ein.</w:t>
      </w:r>
    </w:p>
    <w:p>
      <w:r>
        <w:rPr>
          <w:b/>
        </w:rPr>
        <w:t>E. 2</w:t>
      </w:r>
    </w:p>
    <w:p>
      <w:r>
        <w:t>Am 23. Oktober 2023 führte das Institut für Rechtsmedizin der Univer-sität Zürich eine Zwischenkontrolle betreffend Abstinenz durch. Es kam dabei zum Ergebnis, A.________ habe die Alkoholabstinenz nicht eingehalten. Am 9. November 2023 erliess das Strassenverkehrsamt des Kantons Luzern auf Ersuchen von A.________ eine anfechtbare Zwischenverfügung betreffend die negative Zwischenkontrolle. Da-ge-gen gelangte dieser an das Kantonsgericht Luzern. Er ersuchte dabei um unentgeltliche Rechtspflege (inklusive unentgeltliche Rechts-verbeiständung). Mit Verfügung vom 19. Dezember 2023 wies das Kantonsgericht das Gesuch ab.</w:t>
      </w:r>
    </w:p>
    <w:p>
      <w:r>
        <w:rPr>
          <w:b/>
        </w:rPr>
        <w:t>E. 3</w:t>
      </w:r>
    </w:p>
    <w:p>
      <w:r>
        <w:t>Mit Eingabe vom 28. Dezember 2023 erhebt A.________ beim Bun-desgericht sinngemäss Beschwerde gegen die Verfügung des Kan-tonsgerichts vom 19. Dezember 2023.</w:t>
      </w:r>
    </w:p>
    <w:p>
      <w:r>
        <w:t>Das Bundesgericht verzichtet auf die Einholung von Vernehmlassun-gen.</w:t>
      </w:r>
    </w:p>
    <w:p>
      <w:r>
        <w:rPr>
          <w:b/>
        </w:rPr>
        <w:t>E. 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bringt in seiner auf die angefochtene Verfügung geschriebenen, handschriftlichen Beschwerde einzig vor, er sei mit dem Entscheid nicht einverstanden. Inwiefern die Vorinstanz Recht im Sinne von Art. 42 Abs. 2 BGG verletzt haben soll, indem sie sein Gesuch um unentgeltliche Rechtspflege (inklusive unentgeltliche Rechtsverbeiständung) abgewiesen hat, legt er nicht dar. Seine Be-schwerde genügt den gesetzlichen Formerfordernissen offensichtlich nicht, weshalb im vereinfachten Verfahren nach Art. 108 Abs. 1 BGG nicht darauf einzutreten ist.</w:t>
      </w:r>
    </w:p>
    <w:p>
      <w:r>
        <w:rPr>
          <w:b/>
        </w:rPr>
        <w:t>E. 5</w:t>
      </w:r>
    </w:p>
    <w:p>
      <w:r>
        <w:t>Bei diesem Verfahrensausgang wäre der Beschwerdeführer an sich kostenpflichtig; auf eine Kostenerhebung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