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68/2009 vom 17. Juli 2009</w:t>
      </w:r>
    </w:p>
    <w:p>
      <w:r>
        <w:t>Bundesgericht, 2009-07-17, DE</w:t>
      </w:r>
    </w:p>
    <w:p>
      <w:r>
        <w:rPr>
          <w:b/>
        </w:rPr>
        <w:t xml:space="preserve">Quelle: </w:t>
      </w:r>
      <w:r>
        <w:t>https://mcp.opencaselaw.ch/entscheid/bger_1C_68_2009</w:t>
      </w:r>
    </w:p>
    <w:p>
      <w:r>
        <w:t>FR: TF 1C 68/2009 du 17 juillet 2009</w:t>
      </w:r>
    </w:p>
    <w:p>
      <w:r>
        <w:t>IT: TF 1C 68/2009 del 17 luglio 2009</w:t>
      </w:r>
    </w:p>
    <w:p>
      <w:pPr>
        <w:pStyle w:val="Heading2"/>
      </w:pPr>
      <w:r>
        <w:t>Regeste</w:t>
      </w:r>
    </w:p>
    <w:p>
      <w:r>
        <w:t>Denkmalschutz | Raumplanung und öffentliches Baurecht</w:t>
      </w:r>
    </w:p>
    <w:p>
      <w:pPr>
        <w:pStyle w:val="Heading2"/>
      </w:pPr>
      <w:r>
        <w:t>Erwägungen</w:t>
      </w:r>
    </w:p>
    <w:p>
      <w:r>
        <w:rPr>
          <w:b/>
        </w:rPr>
        <w:t>E. 1</w:t>
      </w:r>
    </w:p>
    <w:p>
      <w:r>
        <w:t>Beim angefochtenen Urteil handelt es sich um einen letztinstanzlichen kantonalen Endentscheid, mit welchem der Beschwerdeführerin das Recht abgesprochen wurde, sich zum kommunalen Verzicht auf eine Unterschutzstellung zu äussern ( Art. 90 BGG ). Gestützt auf Art. 82 lit. a BGG beurteilt das Bundesgericht Beschwerden gegen Entscheide in Angelegenheiten des öffentlichen Rechts. Eine solche ist vorliegend zu beurteilen. Die Beschwerdeführerin ist durch die Verneinung ihres Mitwirkungsrechts in ihren rechtlich geschützten Interessen berührt. Sie macht u.a. eine Verletzung des rechtlichen Gehörs geltend, wozu sie als Beteiligte im kantonalen Verfahren legitimiert ist ( Art. 89 lit. a BGG ). Die übrigen Sachurteilsvoraussetzungen geben zu keinen Bemerkungen Anlass, weshalb auf die Beschwerde einzutreten ist.</w:t>
      </w:r>
    </w:p>
    <w:p>
      <w:r>
        <w:rPr>
          <w:b/>
        </w:rPr>
        <w:t>E. 2</w:t>
      </w:r>
    </w:p>
    <w:p>
      <w:r>
        <w:t>Die Beschwerdeführerin erachtet die Auslegung und Anwendung von § 213 des kantonalen Planungs- und Baugesetzes vom 7. September 1975 (PBG/ZH; LS 700.1) durch das Verwaltungsgericht als willkürlich. Vorab vertritt sie die Auffassung, Abs. 3 der genannten Bestimmung richte sich als Ordnungsvorschrift an die Behörde und solle diese zu einer beförderlichen Erledigung des Provokationsbegehrens anhalten, nichts weiter. Diese Regel entfalte keine umfassende materielle Rechtskraft.</w:t>
      </w:r>
    </w:p>
    <w:p>
      <w:r>
        <w:rPr>
          <w:b/>
        </w:rPr>
        <w:t>E. 2.1</w:t>
      </w:r>
    </w:p>
    <w:p>
      <w:r>
        <w:t>§ 213 Abs. 1 PBG /ZH räumt dem Grundeigentümer das Recht ein, jederzeit vom Gemeinwesen einen Entscheid über die Schutzwürdigkeit seines Grundstücks und über den Umfang allfälliger Schutzmassnahmen zu verlangen, wenn er ein aktuelles Interesse glaubhaft macht. Gemäss Abs. 3 entscheidet das zuständige Gemeinwesen spätestens innert Jahresfrist, wobei es in Ausnahmefällen vor Fristablauf dem Grundeigentümer anzeigen kann, die Behandlungsdauer erstrecke sich um höchstens ein weiteres Jahr. Liegt vor Fristablauf kein Entscheid vor, kann eine Schutzmassnahme nur bei wesentlich veränderten Verhältnissen angeordnet werden.</w:t>
      </w:r>
    </w:p>
    <w:p>
      <w:r>
        <w:rPr>
          <w:b/>
        </w:rPr>
        <w:t>E. 2.2</w:t>
      </w:r>
    </w:p>
    <w:p>
      <w:r>
        <w:t>Das Verwaltungsgericht setzt bei seiner Argumentation § 213 Abs. 3 PBG /ZH in Relation zu zwei anderen Bestimmungen: § 209 Abs. 2 PBG /ZH sieht vor, dass die schriftliche Mitteilung an den Grundeigentümer über die Aufnahme seines Grundstücks in ein Inventar das Verbot bewirkt, am bezeichneten Objekt ohne Bewilligung der anordnenden Behörde tatsächliche Veränderungen vorzunehmen. Das Veränderungsverbot fällt dahin, wenn nicht innert Jahresfrist seit der schriftlichen Mitteilung eine dauernde Anordnung getroffen wird (Abs. 3). Vorsorgliche Massnahmen können im gleichen Verfahren und mit gleichen Rechtswirkungen auch ohne Inventarisierungen angeordnet werden ( § 210 PBG /ZH). Dazu führt das Verwaltungsgericht aus, bezüglich der gesetzlichen Befristung von vorsorglichen Schutzmassnahmen bilde § 213 Abs. 3 PBG /ZH gegenüber § 209 Abs. 3 PBG /ZH eine Spezialnorm für jene Fälle, in denen wie hier die Schutzwürdigkeit aufgrund eines Provokationsbegehrens des Grundeigentümers abgeklärt werde. Die Regelung von § 209 f. PBG/ZH ziele auf den (vorsorglichen) Schutz des Objekts ab, während § 213 PBG /ZH das Interesse des Grundeigentümers berücksichtigte, auf entsprechendes ("Provokations"-)Begehren hin binnen nützlicher Frist Klarheit über etwaige Schutzmassnahmen zu haben.</w:t>
      </w:r>
    </w:p>
    <w:p>
      <w:r>
        <w:rPr>
          <w:b/>
        </w:rPr>
        <w:t>E. 2.3</w:t>
      </w:r>
    </w:p>
    <w:p>
      <w:r>
        <w:t>Verfassungsrechtlich ist es entgegen der Meinung der Beschwerdeführerin nicht zu beanstanden, wenn das Verwaltungsgericht § 213 Abs. 3 PBG /ZH aufgrund der vorstehenden Überlegungen die Bedeutung einer Verwirkungsfrist beimisst (so ausdrücklich DOMINIK BACHMANN, Ausgewählte Fragen zum Denkmalrecht, in: PBG aktuell, Zürich 2000, Heft 1 S. 5, der festhält, dass die Revision des PBG aus der blossen Ordnungsfrist eine Art Verwirkungsfrist gemacht habe). § 213 PBG /ZH zwingt die Behörde zum Handeln. Dies dient in erster Linie dem Grundeigentümer, der auf diese Weise nicht in unzumutbar langer Ungewissheit über die Schutzwürdigkeit seiner Liegenschaft gelassen wird.</w:t>
      </w:r>
    </w:p>
    <w:p>
      <w:r>
        <w:rPr>
          <w:b/>
        </w:rPr>
        <w:t>E. 3.1</w:t>
      </w:r>
    </w:p>
    <w:p>
      <w:r>
        <w:t>Ist die Verwirkungsfrist nach § 213 Abs. 3 PBG /ZH unbenützt abgelaufen, ist die Folge nicht automatisch die definitive, unanfechtbare Nicht-Unterschutzstellung. Mit seinem Untätigbleiben hat das Gemeinwesen faktisch einen Entscheid getroffen, nämlich denjenigen, ein Grundstück nicht unter Schutz zu stellen. Dieser Entscheid wird vom Gesetz fingiert. Er ist aus Gründen des Drittrechtsschutzes den zur Anfechtung legitimierten Personen und Verbänden derart zur Kenntnis zu bringen, dass sie die Möglichkeit erhalten, den Rechtsmittelweg zu beschreiten. Die Minderheit des Verwaltungsgerichts hat denn auch die eigene Praxis zitiert, wonach sich Nachbarn gegen die Nichtunterschutzstellung bzw. Inventarentlassung eines potenziellen Schutzobjekts dann wehren können, wenn dadurch Baumöglichkeiten eröffnet werden, welche sie belasten. Werden Private zum Rechtsmittel zugelassen, muss dies auch für Vereinigungen gelten, sofern sie die gesetzlichen Voraussetzungen erfüllen.</w:t>
      </w:r>
    </w:p>
    <w:p>
      <w:r>
        <w:rPr>
          <w:b/>
        </w:rPr>
        <w:t>E. 3.2</w:t>
      </w:r>
    </w:p>
    <w:p>
      <w:r>
        <w:t>Die Rekurs- und Beschwerdelegitimation wird auf kantonaler Ebene in § 338a PBG /ZH geregelt. Danach ist zum Rekurs und zur Beschwerde berechtigt, wer durch die angefochtene Anordnung berührt ist und ein schutzwürdiges Interesse an ihrer Aufhebung oder Änderung hat. Dasselbe gilt für die Anfechtung von Erlassen (Abs. 1). Zum Rekurs und zur Beschwerde gegen Anordnungen und Erlasse, soweit sie sich auf den III. Titel oder § 238 Abs. 2 stützen, sowie gegen Bewilligungen für Bauten und Anlagen ausserhalb der Bauzonen sind auch gesamtkantonal tätige Vereinigungen berechtigt, die sich seit wenigstens zehn Jahren im Kanton statutengemäss dem Natur- und Heimatschutz oder verwandten, rein ideellen Zielen widmen. Die nämliche Befugnis steht diesen Vereinigungen zu gegen die Festsetzung von überkommunalen Gestaltungsplänen ausserhalb der Bauzonen (Abs. 2). Der Nicht-Unterschutzstellungsentscheid eines Gemeinwesens betrifft eine Materie, die im III. Titel des PBG/ZH geregelt wird und somit dem Verbandsbeschwerderecht nach § 338a Abs. 2 PBG /ZH zugänglich sein muss. Dass die Beschwerdeführerin die Voraussetzungen nach § 338a Abs. 2 PBG /ZH nicht erfüllen würde, wird nicht behauptet. Indem das Verwaltungsgericht der Beschwerdeführerin das Recht zur Anfechtung verweigert hat, wendet es nicht nur kantonales Verfahrensrecht willkürlich an, es verletzt auch die Regeln des fairen Verfahrens nach Art. 29 Abs. 1 BV und den Anspruch der Beschwerdeführerin auf rechtliches Gehör ( Art. 29 Abs. 2 BV ). Zudem sieht Art. 33 Abs. 2 RPG wenigstens ein Rechtsmittel vor gegen Verfügungen und Nutzungspläne, die sich auf dieses Gesetz und seine kantonalen und eidgenössischen Ausführungsbestimmungen stützen. Das Verwaltungsgericht verstösst gegen die in Art. 33 Abs. 2 RPG statuierte Mindestanforderung an den kantonalen Rechtsschutz, wenn es die Nicht-Unterschutzstellung zufolge unbenützt abgelaufener Frist im Sinne von § 213 Abs. 3 PBG /ZH als definitiven, unanfechtbaren Entscheid qualifiziert.</w:t>
      </w:r>
    </w:p>
    <w:p>
      <w:r>
        <w:rPr>
          <w:b/>
        </w:rPr>
        <w:t>E. 3.3</w:t>
      </w:r>
    </w:p>
    <w:p>
      <w:r>
        <w:t>Daraus folgt, dass der Nicht-Unterschutzstellungsentscheid den zur Anfechtung legitimierten Nachbarn und Vereinigungen in geeigneter Weise mitgeteilt werden muss (z.B. mittels Publikation), damit diese von ihren Rechten Gebrauch gemachten und diesen Entscheid materiell anfechten können.</w:t>
      </w:r>
    </w:p>
    <w:p>
      <w:r>
        <w:rPr>
          <w:b/>
        </w:rPr>
        <w:t>E. 4</w:t>
      </w:r>
    </w:p>
    <w:p>
      <w:r>
        <w:t>Das Urteil des Verwaltungsgerichts des Kantons Zürich vom 18. Dezember 2008 ist demnach aufzuheben und an das Verwaltungsgericht zu neuem Kostenentscheid zurückzuweisen. Zudem hat der Stadtrat den Entscheid, das Grundstück Kat.-Nr. LF3069 nicht unter Schutz zu stellen, den legitimierten Nachbarn und Vereinigungen in geeigneter Form mitzuteilen, damit diese allenfalls den Rechtsmittelweg beschreiten können. Die privaten Beschwerdegegner haben dem Ausgang des bundesgerichtlichen Verfahrens entsprechend für dessen Kosten aufzukommen ( Art. 66 Abs. 1 BGG ). Zudem haben sie die Beschwerdeführerin dafür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