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68/2007 vom 14. September 2007</w:t>
      </w:r>
    </w:p>
    <w:p>
      <w:r>
        <w:t>Bundesgericht, 2007-09-14, DE</w:t>
      </w:r>
    </w:p>
    <w:p>
      <w:r>
        <w:rPr>
          <w:b/>
        </w:rPr>
        <w:t xml:space="preserve">Quelle: </w:t>
      </w:r>
      <w:r>
        <w:t>https://mcp.opencaselaw.ch/entscheid/bger_1C_68_2007</w:t>
      </w:r>
    </w:p>
    <w:p>
      <w:r>
        <w:t>FR: TF 1C 68/2007 du 14 septembre 2007</w:t>
      </w:r>
    </w:p>
    <w:p>
      <w:r>
        <w:t>IT: TF 1C 68/2007 del 14 settembre 2007</w:t>
      </w:r>
    </w:p>
    <w:p>
      <w:pPr>
        <w:pStyle w:val="Heading2"/>
      </w:pPr>
      <w:r>
        <w:t>Regeste</w:t>
      </w:r>
    </w:p>
    <w:p>
      <w:r>
        <w:t>Auflösung des Dienstverhältnisses | Öffentliches Dienstverhältnis</w:t>
      </w:r>
    </w:p>
    <w:p>
      <w:pPr>
        <w:pStyle w:val="Heading2"/>
      </w:pPr>
      <w:r>
        <w:t>Erwägungen</w:t>
      </w:r>
    </w:p>
    <w:p>
      <w:r>
        <w:rPr>
          <w:b/>
        </w:rPr>
        <w:t>E. 1.1</w:t>
      </w:r>
    </w:p>
    <w:p>
      <w:r>
        <w:t>Das angefochtene Urteil vom 6. März 2007 ist nach dem Inkrafttreten des Bundesgerichtsgesetzes (BGG; SR 173.110) am 1. Januar 2007 ergangen. Auf das vorliegende Verfahren ist das BGG anwendbar ( Art. 132 Abs. 1 BGG ).</w:t>
      </w:r>
    </w:p>
    <w:p>
      <w:r>
        <w:rPr>
          <w:b/>
        </w:rPr>
        <w:t>E. 1.2</w:t>
      </w:r>
    </w:p>
    <w:p>
      <w:r>
        <w:t>Das angefochtene Urteil des Verwaltungsgerichts, einer letzten kantonalen Instanz ( Art. 86 Abs. 1 lit. d BGG ), betrifft ein öffentlich-rechtliches Arbeitsverhältnis, d.h. eine öffentlich-rechtliche Angelegenheit im Sinne von Art. 82 lit. a BGG . Die Beschwerdeführerin macht Forderungen im Betrag von Fr. 20'838.-- geltend. Es handelt sich um eine vermögensrechtliche Angelegenheit ( Art. 83 lit. g BGG ) und die Streitwertgrenze von Fr. 15'000.-- ist überschritten ( Art. 85 Abs. 1 lit. b BGG ).</w:t>
      </w:r>
    </w:p>
    <w:p>
      <w:r>
        <w:rPr>
          <w:b/>
        </w:rPr>
        <w:t>E. 1.3</w:t>
      </w:r>
    </w:p>
    <w:p>
      <w:r>
        <w:t>Die I. öffentlich-rechtliche Abteilung des Bundesgerichts ist zur Behandlung der Beschwerde zuständig (Art. 29 Abs. 1 lit. g Reglement für das Bundesgericht vom 20. November 2006, SR 173.110.131).</w:t>
      </w:r>
    </w:p>
    <w:p>
      <w:r>
        <w:rPr>
          <w:b/>
        </w:rPr>
        <w:t>E. 2</w:t>
      </w:r>
    </w:p>
    <w:p>
      <w:r>
        <w:t>Die Beschwerdeführerin rügt, das Verwaltungsgericht habe die Prüfung unterlassen, ob eine ungerechtfertigte fristlose Entlassung oder eine missbräuchliche Kündigung vorliege. Sie rügt eine Verletzung von Art. 337c und 336 OR .</w:t>
      </w:r>
    </w:p>
    <w:p>
      <w:r>
        <w:rPr>
          <w:b/>
        </w:rPr>
        <w:t>E. 2.1</w:t>
      </w:r>
    </w:p>
    <w:p>
      <w:r>
        <w:t>Das Verwaltungsgericht hat aus verfahrensrechtlichen Gründen auf diese Prüfung verzichtet. Seiner Ansicht nach hätte die Beschwerdeführerin gegen die Kündigung innert Frist mit Rekurs vorgehen müssen. Da die Begründetheit der Kündigung bereits mit Rekurs anfechtbar gewesen wäre, aber ein Rekurs nicht erhoben wurde, stehe die Kündigung rechtskräftig fest.</w:t>
      </w:r>
    </w:p>
    <w:p>
      <w:r>
        <w:rPr>
          <w:b/>
        </w:rPr>
        <w:t>E. 2.2</w:t>
      </w:r>
    </w:p>
    <w:p>
      <w:r>
        <w:t>Die Beschwerde an das Bundesgericht beschränkt sich auf die in Art. 95-98 BGG genannten Beschwerdegründe. Eine uneingeschränkte Überprüfung der angefochtenen Entscheide ist im Gesetz nicht vorgesehen. Das Bundesgericht kann die Anwendung kantonalen Rechts - unter Vorbehalt der hier nicht einschlägigen Art. 95 lit. c und d BGG - grundsätzlich nicht überprüfen.</w:t>
      </w:r>
    </w:p>
    <w:p>
      <w:r>
        <w:rPr>
          <w:b/>
        </w:rPr>
        <w:t>E. 2.3</w:t>
      </w:r>
    </w:p>
    <w:p>
      <w:r>
        <w:t>Das zu beurteilende Rechtsverhältnis untersteht kantonalem öffentlichem Recht. Nach Darlegung in der Beschwerde gelten durch Verweis in der kantonalen Personalverordnung ergänzend die Bestimmungen des Obligationenrechts. Durch die im öffentlichen Recht vorgenommene Verweisung auf das Privatrecht wird dieses zum öffentlichen Recht des betreffenden Gemeinwesens und ist nach dessen Regeln anzuwenden und auszulegen. Die übernommenen Normen des Obligationenrechts gelten nicht als Privatrecht, sondern als subsidiäres öffentliches Recht des Kantons (vgl. BGE 126 III 370 E. 5 S. 372; 108 II 490 E. 7 S. 495; Tomas Poledna, Annäherungen ans Obligationenrecht, in Peter Helbling/Tomas Poledna [Hrsg.], Personalrecht des öffentlichen Dienstes, Bern 1999, S. 213/214; Ulrich Häfelin/Georg Müller/Felix Uhlmann, Allgemeines Verwaltungsrecht, 5. Auflage, Zürich 2006, Rz. 304).</w:t>
      </w:r>
    </w:p>
    <w:p>
      <w:r>
        <w:rPr>
          <w:b/>
        </w:rPr>
        <w:t>E. 2.4</w:t>
      </w:r>
    </w:p>
    <w:p>
      <w:r>
        <w:t>Die Einwände der Beschwerdeführerin betreffen somit das kantonale Recht. Da die unrichtige Anwendung kantonalen Rechts kein Beschwerdegrund ist, ist auf die Rüge der Verletzung des Obligationenrechts - hier angewandt als kantonales öffentliches Recht - nicht einzutreten.</w:t>
      </w:r>
    </w:p>
    <w:p>
      <w:r>
        <w:rPr>
          <w:b/>
        </w:rPr>
        <w:t>E. 3</w:t>
      </w:r>
    </w:p>
    <w:p>
      <w:r>
        <w:t>Als Beschwerdegrund im Sinne von Art. 95 BGG könnte vorgebracht werden, die (unterbliebene) Anwendung von kantonalem Recht verletze verfassungsmässige Rechte. Gemäss Art. 106 Abs. 2 BGG (in Verbindung mit Art. 42 Abs. 2 BGG ) prüft das Bundesgericht die Verletzung von Grundrechten und von kantonalem und interkantonalem Recht nur insofern, als eine solche Rüge in der Beschwerde vorgebracht und begründet worden ist. Die Beschwerdeführerin macht jedoch nicht geltend, dass verfassungsmässige Rechte verletzt worden seien. Daher kann das Vorbringen nicht als Verfassungsrüge entgegengenommen werden.</w:t>
      </w:r>
    </w:p>
    <w:p>
      <w:r>
        <w:rPr>
          <w:b/>
        </w:rPr>
        <w:t>E. 4</w:t>
      </w:r>
    </w:p>
    <w:p>
      <w:r>
        <w:t>Die Beschwerdeführerin macht geltend, das Verwaltungsgericht habe in einem früheren Urteil vom 19. August 2003 die Widerrechtlichkeit einer Kündigung im Klageverfahren geprüft und müsse dies auch im vorliegenden Fall tun. Sie rügt auch diesbezüglich nur eine Verletzung des Obligationenrechts. Da dieses aber bloss subsidiär als kantonales Recht anwendbar ist und eine Verfassungsrüge fehlt, ist auf das Vorbringen nicht einzutreten.</w:t>
      </w:r>
    </w:p>
    <w:p>
      <w:r>
        <w:rPr>
          <w:b/>
        </w:rPr>
        <w:t>E. 5</w:t>
      </w:r>
    </w:p>
    <w:p>
      <w:r>
        <w:t>Auf die Beschwerde ist nicht einzutreten. Die Beschwerdeführerin macht mit Hinweis auf Art. 343 Abs. 3 OR geltend, für das vorliegende Verfahren seien keine Kosten zu erheben. Nach der Rechtsprechung gilt indessen Art. 343 OR bei öffentlich-rechtlichen Arbeitsverhältnissen nicht, und es besteht bei Beschwerden gegen Entscheide in kantonalen Beamtensachen kein Anspruch auf Kostenbefreiung (nicht publiziertes Urteil 2P.153/1997 vom 22. Dezember 1997, E. 7). Demnach trägt die unterliegende Beschwerdeführerin die Gerichtskosten ( Art. 66 Abs. 1 und Art. 65 Abs. 4 lit. c BGG ). Gemäss Art. 68 Abs. 3 BGG ist Organisationen, die mit öffentlich-rechtlichen Aufgaben betraut sind, in der Regel keine Parteientschädigung zuzusprechen, wenn sie in ihrem amtlichen Wirkungskreis obsiegen. Entsprechend dieser Regel ist dem anwaltlich vertretenen SGV keine Parteientschädigung auszurichten (vgl. nicht publiziertes Urteil 1C_122/2007 vom 24. Juli 2007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