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1C_687/2023 vom 3. Januar 2024</w:t>
      </w:r>
    </w:p>
    <w:p>
      <w:r>
        <w:t>Bundesgericht, 2024-01-03, IT</w:t>
      </w:r>
    </w:p>
    <w:p>
      <w:r>
        <w:rPr>
          <w:b/>
        </w:rPr>
        <w:t xml:space="preserve">Quelle: </w:t>
      </w:r>
      <w:r>
        <w:t>https://mcp.opencaselaw.ch/entscheid/bger_1C_687_2023</w:t>
      </w:r>
    </w:p>
    <w:p>
      <w:r>
        <w:t>FR: TF 1C_687/2023 du 3 janvier 2024</w:t>
      </w:r>
    </w:p>
    <w:p>
      <w:r>
        <w:t>IT: TF 1C_687/2023 del 3 gennaio 2024</w:t>
      </w:r>
    </w:p>
    <w:p>
      <w:pPr>
        <w:pStyle w:val="Heading2"/>
      </w:pPr>
      <w:r>
        <w:t>Erwägungen</w:t>
      </w:r>
    </w:p>
    <w:p>
      <w:r>
        <w:rPr>
          <w:b/>
        </w:rPr>
        <w:t>E. 1.1</w:t>
      </w:r>
    </w:p>
    <w:p>
      <w:r>
        <w:t>Il ricorso è redatto, legittimamente, in lingua tedesca ( art. 42 cpv. 1 LTF ). Non vi è tuttavia motivo di scostarsi dalla regola secondo cui il procedimento si svolge di massima nella lingua della decisione impugnata, in concreto quella italiana ( art. 54 cpv. 1 LTF ).</w:t>
      </w:r>
    </w:p>
    <w:p>
      <w:r>
        <w:rPr>
          <w:b/>
        </w:rPr>
        <w:t>E. 1.2</w:t>
      </w:r>
    </w:p>
    <w:p>
      <w:r>
        <w:t>Contro le decisioni emanate nel campo dell'assistenza giudiziaria internazionale in materia penale il ricorso è ammissibile soltanto se concerne, come in concreto, un sequestro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1.3</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(art. 42 cpv. 2 secondo periodo LTF;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w:t>
      </w:r>
    </w:p>
    <w:p>
      <w:r>
        <w:t>Riguardo alle condizioni dell' art. 84 cpv. 2 LTF , il ricorrente si limita a riproporre, adducendo alcuni asseriti fatti nuovi ma non decisivi, le precedenti censure già respinte nella decisione della CRP del 14 dicembre 2020. Egli ribadisce, fondandosi su una perizia giuridica privata, che corrisponde a un'allegazione di parte ( DTF 142 II 355 consid. 6 e rinvii), e sull'abbandono del procedimento penale svizzero, che pure quello angolano dovrebbe essere abbandonato, anche in seguito all'adozione di una pretesa amnistia nello Stato richiedente, censura già ritenuta ininfluente dal Tribunale federale nella citata sentenza 1C_721/2020 (consid. 2.4). Adduce poi, a torto come già stabilito nella sentenza appena citata (consid. 2.3), che la CRP gli avrebbe negato la facoltà di avvalersi delle garanzie dell' art. 2 AIMP , visto ch'egli non risiede in Angola, contrariamente al caso da lui invocato nell'ambito del quale il Tribunale federale si è pronunciato sull'eventuale necessità di ottenere delle garanzie diplomatiche da parte di questo Stato (sentenza 1C_349/2022 del 30 agosto 2022 consid. 4.3). Riguardo alle ulteriori censure il ricorrente non dimostra che la CRP si sarebbe scostata dalla costante prassi, ritenuto altresì che lo Stato estero ha chiesto il mantenimento del sequestro. D'altra parte il ricorrente non sostiene d'aver sostanziato compiutamente, già dinanzi alla CRP, uno sproporzionato pregiudizio economico al riguardo, insistendo sul fatto che i suoi figli non potrebbero usufruire di una migliore istruzione scolastica non potendo più asseritamente frequentare scuole private. Sulla base degli art. 93 cpv. 2 LTF e 80e cpv. 2 lett. a AIMP (RS 351.1), il ricorso interposto contro la misura del sequestro non può inoltre limitarsi a riproporre le questioni che concernono unicamente la decisione di entrata nel merito e nella fattispecie la durata del sequestro non è (ancora) eccessiva (sentenza 1C_489/2021 del 27 settembre 2022 consid. 2.1-2.5). Per il resto, il ricorrente critica in maniera meramente appellatoria e quindi inammissibile ( DTF 148 IV 205 consid. 2.6) l'accertamento dei fatti e la valutazione delle prove operati dalla CRP, ciò che non impone un intervento del Tribunale federale.</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