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687/2013 vom 3. September 2013</w:t>
      </w:r>
    </w:p>
    <w:p>
      <w:r>
        <w:t>Bundesgericht, 2013-09-03, DE</w:t>
      </w:r>
    </w:p>
    <w:p>
      <w:r>
        <w:rPr>
          <w:b/>
        </w:rPr>
        <w:t xml:space="preserve">Quelle: </w:t>
      </w:r>
      <w:r>
        <w:t>https://mcp.opencaselaw.ch/entscheid/bger_1C_687_2013</w:t>
      </w:r>
    </w:p>
    <w:p>
      <w:r>
        <w:t>FR: TF 1C 687/2013 du 3 septembre 2013</w:t>
      </w:r>
    </w:p>
    <w:p>
      <w:r>
        <w:t>IT: TF 1C 687/2013 del 3 settembre 2013</w:t>
      </w:r>
    </w:p>
    <w:p>
      <w:pPr>
        <w:pStyle w:val="Heading2"/>
      </w:pPr>
      <w:r>
        <w:t>Regeste</w:t>
      </w:r>
    </w:p>
    <w:p>
      <w:r>
        <w:t>Ermächtigung zur Eröffnung einer Strafuntersuchung | Strafprozess</w:t>
      </w:r>
    </w:p>
    <w:p>
      <w:pPr>
        <w:pStyle w:val="Heading2"/>
      </w:pPr>
      <w:r>
        <w:t>Erwägungen</w:t>
      </w:r>
    </w:p>
    <w:p>
      <w:r>
        <w:rPr>
          <w:b/>
        </w:rPr>
        <w:t>E. 1</w:t>
      </w:r>
    </w:p>
    <w:p>
      <w:r>
        <w:t>X.________ erstattete am 19. April 2013 Strafanzeige gegen zwei Beamte der Stadtpolizei Zürich wegen Amtsmissbrauchs usw. Die Strafanzeige steht im Zusammenhang mit einem gegen die Anzeigerin geführten Administrativverfahren aus dem Jahre 2004, als sie bei der Stadtpolizei Zürich angestellt war. Ihr wurde damals vorgeworfen, ausserdienstlich jemand mit dem Tode bedroht und damit gegen Pflichten betreffend ausserdienstliches Verhalten verstossen zu haben. Die Staatsanwaltschaft I des Kantons Zürich überweis die Akten mit Verfügung vom 19. Juni 2013 via Oberstaatsanwaltschaft des Kantons Zürich an das Obergericht des Kantons Zürich, um über die Erteilung bzw. Nichterteilung der Ermächtigung zur Durchführung einer Strafuntersuchung zu entscheiden. Die III. Strafkammer des Obergerichts des Kantons Zürich erteilte mit Beschluss vom 14. August 2013 der Staatsanwaltschaft die Ermächtigung zum Entscheid über die Untersuchungseröffnung bzw. die Nichtanhandnahme des Verfahrens nicht. Zur Begründung führte die III. Strafkammer zusammenfassend aus, dass hinsichtlich des zur Anzeige gebrachten Sachverhalts keinerlei Anhaltspunkte für ein strafrechtlich relevantes Verhalten vorliegen würden. Es fehle daher an einem hinreichenden Anfangsverdacht.</w:t>
      </w:r>
    </w:p>
    <w:p>
      <w:r>
        <w:rPr>
          <w:b/>
        </w:rPr>
        <w:t>E. 2</w:t>
      </w:r>
    </w:p>
    <w:p>
      <w:r>
        <w:t>X.________ führt mit Eingabe vom 26. August 2013 (Postaufgabe 27. August 2013)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Beschwerdeführerin setzt sich mit der Begründung der Strafkammer nicht rechtsgenüglich auseinander. Aus ihrer Beschwerde ergibt sich nicht, inwiefern die Strafkammer in rechts- bzw. verfassungswidriger Weise das Vorliegen eines hinreichenden Anfangsverdachts verneint haben sollte. Die Beschwerde genügt daher den gesetzlichen Formerfordernissen (vgl. Art. 106 Abs. 2 BGG ; BGE 136 I 49 E. 1.4.1 S. 53, 65 E. 1.3.1 S. 68 mit Hinweisen) offensichtlich nicht, weshalb auf sie im vereinfachten Verfahren nach Art. 108 Abs. 1 lit. b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