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686/2013 vom 29. August 2013</w:t>
      </w:r>
    </w:p>
    <w:p>
      <w:r>
        <w:t>Bundesgericht, 2013-08-29, IT</w:t>
      </w:r>
    </w:p>
    <w:p>
      <w:r>
        <w:rPr>
          <w:b/>
        </w:rPr>
        <w:t xml:space="preserve">Quelle: </w:t>
      </w:r>
      <w:r>
        <w:t>https://mcp.opencaselaw.ch/entscheid/bger_1C_686_2013</w:t>
      </w:r>
    </w:p>
    <w:p>
      <w:r>
        <w:t>FR: TF 1C 686/2013 du 29 août 2013</w:t>
      </w:r>
    </w:p>
    <w:p>
      <w:r>
        <w:t>IT: TF 1C 686/2013 del 29 agosto 2013</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alle ricorrenti spiegare perché la causa adempirebbe queste condizioni (art. 42 cpv. 2 secondo periodo LTF; DTF 133 IV 131 consid. 3).</w:t>
      </w:r>
    </w:p>
    <w:p>
      <w:r>
        <w:rPr>
          <w:b/>
        </w:rPr>
        <w:t>E. 2.1</w:t>
      </w:r>
    </w:p>
    <w:p>
      <w:r>
        <w:t>Le ricorrenti sostengono che il MPC, non intimando loro, neppure in seguito a una esplicita richiesta, la decisione di chiusura, ritenendole non legittimate a ricorrere contro atti di conti bancari di cui esse sono titolari, ma sequestrati presso terzi, segnatamente presso lo studio legale del loro amministratore, lederebbe l' art. 9a lett. a OAIMP (RS 351.11) e il loro diritto di essere sentite ( art. 29 cpv. 2 Cost. ). Rilevano che la Corte dei reclami penali, lasciata aperta la questione della loro legittimazione a ricorrere, ha nondimeno esaminato i gravami nel merito, respingendoli. Ciò sarebbe discutibile, poiché l'istanza precedente non avrebbe potuto lasciare aperta tale questione formale e a loro sarebbe stata impedita un'adeguata difesa.</w:t>
      </w:r>
    </w:p>
    <w:p>
      <w:r>
        <w:rPr>
          <w:b/>
        </w:rPr>
        <w:t>E. 2.2</w:t>
      </w:r>
    </w:p>
    <w:p>
      <w:r>
        <w:t>Con questi accenni le ricorrenti non dimostrano affatto che si sarebbe in presenza di un caso particolarmente importante, né questa condizione è ravvisabile nella fattispecie. In effetti, il quesito della mancata notifica della decisione di chiusura (sull'applicazione dell' art. 9a OAIMP vedi DTF 137 IV 134 consid. 5.2.2 con numerosi rinvii an-che alla dottrina) non presenta più alcun interesse pratico e attuale, dopo che il gravame delle ricorrenti presentato contro detta decisione è stato esaminato nel merito. Né si è in presenza dell'asserita lesione del diritto di essere sentito: la Corte dei reclami penali ha infatti concesso alle ricorrenti la facoltà di replicare, sanando in tal modo, semmai, l'asserito vizio.</w:t>
      </w:r>
    </w:p>
    <w:p>
      <w:r>
        <w:rPr>
          <w:b/>
        </w:rPr>
        <w:t>E. 2.3</w:t>
      </w:r>
    </w:p>
    <w:p>
      <w:r>
        <w:t>Il ricorso è comunque inammissibile per un ulteriore motivo. In effetti, esso è diretto in sostanza contro la decisione di chiusura del MPC, unica decisione della quale le ricorrenti postulano l'annullamento. Esse non chiedono di annullare la sentenza della Corte dei reclami penali, con la quale peraltro si confrontano in maniera del tutto generica. Secondo l' art. 107 cpv. 1 LTF , il Tribunale federale non può andare oltre le conclusioni delle parti, per cui il petito che circoscrive la materia del contendere, di per sé dovrebbe essere formulato in modo tale da poter erigersi a dispositivo della sentenza ( LAURENT MERZ, in: Basler Kommentar, Bundesgerichtsgesetz, 2a ed., 2011, n. 15 ad art. 42). La decisione del MPC non costituisce manifestamente una decisione di ultima istanza ( art. 86 cpv. 1 lett. b LTF e art. 80e AIMP ; RS 351.1) e per l'effetto devolutivo del ricorso, seppure anche considerata materialmente impugnata, è sostituita da quella della Corte dei reclami penali (cfr. DTF 136 II 101 consid. 1.2; 134 II 142 consid. 1.4).</w:t>
      </w:r>
    </w:p>
    <w:p>
      <w:r>
        <w:rPr>
          <w:b/>
        </w:rPr>
        <w:t>E. 3.1</w:t>
      </w:r>
    </w:p>
    <w:p>
      <w:r>
        <w:t>Il ricorso dev'essere pertanto dichiarato inammissibile. Le spese seguono la soccombenza ( art. 66 cpv. 1 LTF ).</w:t>
      </w:r>
    </w:p>
    <w:p>
      <w:r>
        <w:rPr>
          <w:b/>
        </w:rPr>
        <w:t>E. 3.2</w:t>
      </w:r>
    </w:p>
    <w:p>
      <w:r>
        <w:t>La domanda ricorsuale di "confermare" l'effetto sospensivo, dato per legge (art. 103 cpv. 2 lett. c LTF), è superflua 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