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1C_683/2024 vom 7. Mai 2025</w:t>
      </w:r>
    </w:p>
    <w:p>
      <w:r>
        <w:t>Bundesgericht, 2025-05-07, DE</w:t>
      </w:r>
    </w:p>
    <w:p>
      <w:r>
        <w:rPr>
          <w:b/>
        </w:rPr>
        <w:t xml:space="preserve">Quelle: </w:t>
      </w:r>
      <w:r>
        <w:t>https://mcp.opencaselaw.ch/entscheid/bger_1C_683_2024</w:t>
      </w:r>
    </w:p>
    <w:p>
      <w:r>
        <w:t>FR: TF 1C_683/2024 du 7 mai 2025</w:t>
      </w:r>
    </w:p>
    <w:p>
      <w:r>
        <w:t>IT: TF 1C_683/2024 del 7 maggio 2025</w:t>
      </w:r>
    </w:p>
    <w:p>
      <w:pPr>
        <w:pStyle w:val="Heading2"/>
      </w:pPr>
      <w:r>
        <w:t>Erwägungen</w:t>
      </w:r>
    </w:p>
    <w:p>
      <w:r>
        <w:rPr>
          <w:b/>
        </w:rPr>
        <w:t>E. 1</w:t>
      </w:r>
    </w:p>
    <w:p>
      <w:r>
        <w:t>Das Bundesgericht prüft von Amtes wegen und mit freier Kognition, ob eine bei ihm eingereichte Beschwerde zulässig ist ( Art. 29 Abs. 1 BGG ).</w:t>
      </w:r>
    </w:p>
    <w:p>
      <w:r>
        <w:rPr>
          <w:b/>
        </w:rPr>
        <w:t>E. 1.1</w:t>
      </w:r>
    </w:p>
    <w:p>
      <w:r>
        <w:t>Gegen Endentscheide des Bundesverwaltungsgerichts in enteignungsrechtlichen Streitigkeiten steht grundsätzlich die Beschwerde in öffentlich-rechtlichen Angelegenheiten an das Bundesgericht offen (Art. 82 lit. a, 86 Abs. 1 lit. a und 90 BGG). Den Endentscheiden gleichgestellt werden Teilentscheide i.S.v. Art. 91 BGG . Zwischenentscheide können dagegen (sofern sie nicht die Zuständigkeit oder den Ausstand i.S.v. Art. 92 BGG zum Gegenstand haben) nur dann direkt mit Beschwerde beim Bundesgericht angefochten werden, wenn sie entweder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Die selbstständige Anfechtbarkeit von Vor- und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w:t>
      </w:r>
    </w:p>
    <w:p>
      <w:r>
        <w:rPr>
          <w:b/>
        </w:rPr>
        <w:t>E. 1.2</w:t>
      </w:r>
    </w:p>
    <w:p>
      <w:r>
        <w:t>Vorliegend hat das Bundesverwaltungsgericht die Beschwerde teilweise gutgeheissen und im Übrigen abgewiesen. Gutgeheissen wurde die Beschwerde gegen die Kostenhöhe; die angefochtene Kostenverfügung wurde aufgehoben und die Sache zu neuem Entscheid an die ESchK zurückgewiesen (Disp.-Ziff. 1). Dagegen wurde der Antrag der Beschwerdeführerin, die Kosten des vorinstanzlichen Verfahrens den Mitgliedern der Erbengemeinschaft aufzuerlegen, abgewiesen (Ziff. 2). Fraglich ist, ob die Beschwerdeführerin gegen diesen Teil des angefochtenen Entscheids selbstständig Beschwerde führen kann, oder ob es sich um einen Vor- oder Zwischenentscheid i.S.v. Art. 93 Abs. 1 BGG handelt.</w:t>
      </w:r>
    </w:p>
    <w:p>
      <w:r>
        <w:rPr>
          <w:b/>
        </w:rPr>
        <w:t>E. 1.3</w:t>
      </w:r>
    </w:p>
    <w:p>
      <w:r>
        <w:t>Üblicherweise wird im selben Entscheid über alle Kostenfolgen entschieden, indem festgelegt wird, wer die Kosten trägt und in welcher Höhe. Wird der Entscheid im Kostenpunkt ganz oder teilweise aufgehoben und zu neuem Entscheid an die Vorinstanz zurückgewiesen, so liegt ein Zwischenentscheid vor, denn diesfalls ist das Verfahren noch nicht abgeschlossen (vgl. z.B. Urteil 4A_438/2014 vom 5. November 2014 E. 1.2, wo bereits über die Kosten der Expertise, noch nicht aber über die Verlegung dieser Kosten entschieden worden war). Das Bundesgericht soll sich nicht zweimal mit dem Kostenentscheid befassen, sondern alle Fragen, die sich in diesem Zusammenhang stellen, gleichzeitig entscheiden.</w:t>
      </w:r>
    </w:p>
    <w:p>
      <w:r>
        <w:t>Daran ändert der Umstand nichts, dass die Schätzungskommission den Kostenentscheid in zwei separate Verfügungen aufgeteilt hat. Denn erst beide Verfügungen zusammen geben Auskunft über die Kostenfolgen des Rückzugs des Entschädigungsgesuchs. Sollte das Bundesgericht im vorliegenden Verfahren die Kostenpflicht der Beschwerdeführerin vor Bundesgericht bestätigen, ist damit zu rechnen, dass diese erneut wegen der Kostenhöhe an das Bundesgericht gelangt. Genau dies will Art. 93 BGG verhindern.</w:t>
      </w:r>
    </w:p>
    <w:p>
      <w:r>
        <w:rPr>
          <w:b/>
        </w:rPr>
        <w:t>E. 1.4</w:t>
      </w:r>
    </w:p>
    <w:p>
      <w:r>
        <w:t>Es handelt sich auch nicht um selbstständig anfechtbare Teilentscheide i.S.v. Art. 91 lit. a BGG , die verschiedene Begehren behandeln, die unabhängig voneinander beurteilt werden könnten. Würde Disp.-Ziff. 2 der Abschreibungsverfügung aufgehoben, müsste auch Disp.-Ziff. 1 der Gebührenverfügung - welche einzig die Beschwerdeführerin zur Zahlung der Verfahrenskosten verpflichtet - geändert werden. Dies könnte sich auch auf die Höhe der Kosten auswirken, da dem (i.d.R. nicht kostenpflichtigen) Enteigneten bei rechtsmissbräuchlicher Prozessführung die Kosten ganz oder auch nur teilweise auferlegt werden können, während die Enteignerin grundsätzlich sämtliche Kosten der Enteignung trägt. Insofern mussten beide Entscheide gemeinsam angefochten werden.</w:t>
      </w:r>
    </w:p>
    <w:p>
      <w:r>
        <w:rPr>
          <w:b/>
        </w:rPr>
        <w:t>E. 1.5</w:t>
      </w:r>
    </w:p>
    <w:p>
      <w:r>
        <w:t>Dies hat zur Folge, dass der vor Bundesgericht angefochtene Teil als Vor- bzw. Zwischenentscheid zu qualifizieren ist. Die Beschwerdeführerin legt nicht dar, inwiefern die Voraussetzungen gemäss Art. 93 Abs. 1 lit. a oder b BGG erfüllt sind. Dies liegt auch nicht auf der Hand: Es ist kein erheblicher Aufwand an Zeit und Kosten für ein weitläufiges Beweisverfahren zu erwarten. Ein nicht wieder gutzumachender Nachteil ist nicht ersichtlich; ohnehin ist die Beschwerdeführerin nicht zur Zahlung verpflichtet, solange die Kostenhöhe nicht definitiv feststeht.</w:t>
      </w:r>
    </w:p>
    <w:p>
      <w:r>
        <w:rPr>
          <w:b/>
        </w:rPr>
        <w:t>E. 2</w:t>
      </w:r>
    </w:p>
    <w:p>
      <w:r>
        <w:t>Damit ist auf die Beschwerde nicht einzutreten. Bei diesem Ausgang des Verfahrens wird die Beschwerdeführerin kostenpflichtig ( Art. 66 Abs. 1 und 4 BGG ).</w:t>
      </w:r>
    </w:p>
    <w:p>
      <w:r>
        <w:t>C.A.________ beantragt die Zusprechung einer Parteientschädigung. Sie hat keine Anwaltsvollmacht eingereicht; die von ihr selbst unterzeichnete Vernehmlassung wurde jedoch vom Büro H.________, übermittelt und offensichtlich auch von einem Mitarbeiter oder einer Mitarbeiterin dieses Büros erarbeitet; diese entspricht nach Inhalt und Umfang einer anwaltlichen Stellungnahme. Insofern rechtfertigt es sich, C.A.________ eine Parteientschädigung zuzusprechen ( Art. 68 Abs. 1 BGG i.V.m. Art. 9 des Reglements über die Verwaltungsgebühren des Bundesgerichts vom 31. März 2006; SR 173.110.210.2).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