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682/2023 vom 9. Januar 2024</w:t>
      </w:r>
    </w:p>
    <w:p>
      <w:r>
        <w:t>Bundesgericht, 2024-01-09, FR</w:t>
      </w:r>
    </w:p>
    <w:p>
      <w:r>
        <w:rPr>
          <w:b/>
        </w:rPr>
        <w:t xml:space="preserve">Quelle: </w:t>
      </w:r>
      <w:r>
        <w:t>https://mcp.opencaselaw.ch/entscheid/bger_1C_682_2023</w:t>
      </w:r>
    </w:p>
    <w:p>
      <w:r>
        <w:t>FR: TF 1C 682/2023 du 9 janvier 2024</w:t>
      </w:r>
    </w:p>
    <w:p>
      <w:r>
        <w:t>IT: TF 1C 682/2023 del 9 gennaio 2024</w:t>
      </w:r>
    </w:p>
    <w:p>
      <w:pPr>
        <w:pStyle w:val="Heading2"/>
      </w:pPr>
      <w:r>
        <w:t>Regeste</w:t>
      </w:r>
    </w:p>
    <w:p>
      <w:r>
        <w:t>Autorisation de construire; mise en conformité | Aménagement du territoire et droit public des constructions</w:t>
      </w:r>
    </w:p>
    <w:p>
      <w:pPr>
        <w:pStyle w:val="Heading2"/>
      </w:pPr>
      <w:r>
        <w:t>Erwägungen</w:t>
      </w:r>
    </w:p>
    <w:p>
      <w:r>
        <w:rPr>
          <w:b/>
        </w:rPr>
        <w:t>E. 1</w:t>
      </w:r>
    </w:p>
    <w:p>
      <w:r>
        <w:t>Le Tribunal fédéral examine d'office la recevabilité des recours qui lui sont soumis.</w:t>
      </w:r>
    </w:p>
    <w:p>
      <w:r>
        <w:rPr>
          <w:b/>
        </w:rPr>
        <w:t>E. 1.1</w:t>
      </w:r>
    </w:p>
    <w:p>
      <w:r>
        <w:t>Le recours est dirigé contre une décision prise en dernière instance cantonale ( art. 86 al. 1 let . d LTF) dans le domaine du droit public ( art. 82 let. a LTF ). Aucune des exceptions prévues à l' art. 83 LTF n'étant réalisée, la voie du recours en matière de droit public selon les art. 82 ss LTF est en principe ouverte.</w:t>
      </w:r>
    </w:p>
    <w:p>
      <w:r>
        <w:rPr>
          <w:b/>
        </w:rPr>
        <w:t>E. 1.2</w:t>
      </w:r>
    </w:p>
    <w:p>
      <w:r>
        <w:t>Selon l' art. 90 LTF , le recours est ouvert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doit en principe ne s'occuper qu'une seule fois d'une affaire, et ce à la fin de la procédure ( ATF 149 II 170 consid. 1.3; 142 II 363 ).</w:t>
      </w:r>
    </w:p>
    <w:p>
      <w:r>
        <w:rPr>
          <w:b/>
        </w:rPr>
        <w:t>E. 1.3</w:t>
      </w:r>
    </w:p>
    <w:p>
      <w:r>
        <w:t>Une décision de renvoi à l'instance inférieure pour nouvelle décision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w:t>
      </w:r>
    </w:p>
    <w:p>
      <w:r>
        <w:rPr>
          <w:b/>
        </w:rPr>
        <w:t>E. 1.4</w:t>
      </w:r>
    </w:p>
    <w:p>
      <w:r>
        <w:t>En l'occurrence, selon le dispositif de l'arrêt attaqué, la cause est renvoyée à l'autorité communale afin qu'elle statue à nouveau après instruction complémentaire. La cour cantonale relève elle-même que le Conseil municipal disposera dans ce cadre d'une liberté d'appréciation qu'il lui appartient d'exercer au premier chef (consid. 7.2.4). Par conséquent, l'arrêt de renvoi doit être qualifié d'incident au sens de l' art. 93 LTF . Les recourants, qui considèrent à tort et sans plus d'explication qu'il s'agirait d'une décision finale, ne prétendent pas qu'ils seraient exposés à un préjudice irréparable; on ne discerne pas non plus en quoi le renvoi à l'autorité communale serait susceptible de provoquer une procédure probatoire longue et coûteuse ( art. 93 al. 1 let. a et b LTF ).</w:t>
      </w:r>
    </w:p>
    <w:p>
      <w:r>
        <w:rPr>
          <w:b/>
        </w:rPr>
        <w:t>E. 2</w:t>
      </w:r>
    </w:p>
    <w:p>
      <w:r>
        <w:t>Sur le vu de ce qui précède, le recours est déclaré irrecevable. La requête d'effet suspensif est dès lors sans objet. Les frais de justice - réduits s'agissant d'un arrêt d'irrecevabilité - sont mis à la charge solidaire des recourants qui succombent (cf. art. 65 et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