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1C_682/2021 vom 25. März 2022</w:t>
      </w:r>
    </w:p>
    <w:p>
      <w:r>
        <w:t>Bundesgericht, 2022-03-25, DE</w:t>
      </w:r>
    </w:p>
    <w:p>
      <w:r>
        <w:rPr>
          <w:b/>
        </w:rPr>
        <w:t xml:space="preserve">Quelle: </w:t>
      </w:r>
      <w:r>
        <w:t>https://mcp.opencaselaw.ch/entscheid/bger_1C_682_2021</w:t>
      </w:r>
    </w:p>
    <w:p>
      <w:r>
        <w:t>FR: TF 1C_682/2021 du 25 mars 2022</w:t>
      </w:r>
    </w:p>
    <w:p>
      <w:r>
        <w:t>IT: TF 1C_682/2021 del 25 marzo 2022</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Die Beschwerdegegner fallen nicht in diese Kategorie.</w:t>
      </w:r>
    </w:p>
    <w:p>
      <w:r>
        <w:t>Der Beschwerdeführer hat am Verfahren vor der Vorinstanz teilgenommen. Er ist von den behaupteten Straftatbeständen potenziell direkt betroffen. Dies gilt nicht nur für die Nötigung ( Art. 181 StGB ), sondern auch für den im bundesgerichtlichen Verfahren neu geltend gemachten Vorwurf des Amtsmissbrauchs ( Art. 312 StGB ). Dieser schützt sowohl den Staat als auch die betroffene Person (Urteil 1C_395/2018 vom 21. Mai 2019 E. 1.2 mit Hinweis). Der Beschwerdeführer ist somit nach Art. 89 Abs. 1 BGG zur Beschwerde berechtigt.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auch Gemeindeangestellte und somit auch die Beschwerdegegner als Polizisten der Stadtpolizei Wetzikon ( BGE 137 IV 269 E. 2.7 mit Hinweisen).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w:t>
      </w:r>
    </w:p>
    <w:p>
      <w:r>
        <w:rPr>
          <w:b/>
        </w:rPr>
        <w:t>E. 2.3</w:t>
      </w:r>
    </w:p>
    <w:p>
      <w:r>
        <w:t>Im Ermächtigungsverfahren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Urteil 1C_395/2018 vom 21. Mai 2019 E. 2 mit Hinweisen).</w:t>
      </w:r>
    </w:p>
    <w:p>
      <w:r>
        <w:rPr>
          <w:b/>
        </w:rPr>
        <w:t>E. 3.1</w:t>
      </w:r>
    </w:p>
    <w:p>
      <w:r>
        <w:t>Das Obergericht legt unter Zitierung der gesetzlichen Grundlagen dar, dass sich rechtmässig verhalte, wer handle, wie es das Gesetz gebiete oder erlaube. Es gehöre zu den Aufgaben der Polizei, mit geeigneten Massnahmen zur Aufrechterhaltung der öffentlichen Sicherheit und Ordnung beizutragen, Straftaten festzustellen und bei deren Aufklärung mitzuwirken. Die Polizei dürfe zur Erfüllung ihrer Aufgaben im Rahmen der Verhältnismässigkeit unmittelbaren Zwang gegen Personen einsetzen. Die Beschwerdegegner seien im Rahmen ihrer dienstlichen Tätigkeit verpflichtet gewesen, gegen das ungerechtfertigte Nichteinhalten der Maskentragpflicht im öffentlichen Verkehr durch den Beschwerdeführer vorzugehen. Ein unverhältnismässiges polizeiliches Handeln sei nicht ansatzweise auszumachen. Sie hätten den Beschwerdeführer bloss dazu aufgefordert, sich wie vorgeschrieben zu verhalten, mithin im Bus eine Maske zu tragen. Der Beschwerdeführer habe nicht behauptet, dass er die Busfahrt nicht habe antreten können.</w:t>
      </w:r>
    </w:p>
    <w:p>
      <w:r>
        <w:rPr>
          <w:b/>
        </w:rPr>
        <w:t>E. 3.2</w:t>
      </w:r>
    </w:p>
    <w:p>
      <w:r>
        <w:t>Der Beschwerdeführer macht geltend, laut Art. 3a Abs. 1 lit. b der Verordnung vom 19. Juni 2020 über Massnahmen in der besonderen Lage zur Bekämpfung der Covid-19-Epidemie (Covid-19-Verordnung besondere Lage; SR 818.101.26) gemäss Stand am 31. Mai 2021 seien Personen von der Maskenpflicht befreit, die aus besonderen Gründen, insbesondere medizinischen, keine Gesichtsmasken tragen könnten. Ein Dispens sei somit nicht nur aus medizinischen Gründen möglich. Diese höchstpersönlichen Daten dürfe die Polizei im Kanton Zürich nicht bearbeiten, weil es an einer gesetzlichen Grundlage fehle. Die Beschwerdegegner hätten somit den Maskendispens nicht einsehen und nicht beurteilen dürfen, ob er der Covid-19-Verordnung besondere Lage genüge. Indem sie dies trotzdem getan, ihn zudem zum Tragen einer Maske aufgefordert und ihm Straffolgen angedroht hätten, hätten sie ihre Kompetenzen überschritten. Sie hätten sich darauf beschränken müssen, seine Personalien aufzunehmen (§ 21 des Polizeigesetzes des Kantons Zürich vom 23. April 2007 [PolG; LS 550.1]). Das Obergericht habe den Untersuchungsgrundsatz, Art. 6 und 7 StPO , das Gebot zur Wahrung der Rechtsstaatlichkeit gemäss Art. 2 und 12 StPO , den Grundsatz von Treu und Glauben, das Willkürverbot ( Art. 5 Abs. 3 und Art. 9 BV ) und den Anspruch auf rechtliches Gehör ( Art. 29 Abs. 2 BV ) verletzt. Weil hinreichende Gründe für Amtsmissbrauch vorlägen, hätte die Ermächtigung erteilt werden müssen.</w:t>
      </w:r>
    </w:p>
    <w:p>
      <w:r>
        <w:rPr>
          <w:b/>
        </w:rPr>
        <w:t>E. 3.3</w:t>
      </w:r>
    </w:p>
    <w:p>
      <w:r>
        <w:t>Eine Nötigung im Sinne von Art. 181 StGB begeht,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441 mit Hinweisen). Der Straftatbestand des Amtsmissbrauchs gemäss Art. 312 StGB setzt voraus, dass Mitglieder einer Behörde oder Beamte ihre Amtsgewalt missbrauchen, um sich oder einem andern einen unrechtmässigen Vorteil zu verschaffen oder einem andern einen Nachteil zuzufügen.</w:t>
      </w:r>
    </w:p>
    <w:p>
      <w:r>
        <w:t>Gemäss Art. 14 StGB verhält sich rechtmässig, wer handelt, wie es das Gesetz gebietet oder erlaubt, auch wenn die Tat nach diesem oder einem anderen Gesetz mit Strafe bedroht ist. Nach Art. 215 Abs. 1 StPO kann die Polizei im Interesse der Aufklärung einer Straftat eine Person anhalten und wenn nötig auf den Polizeiposten bringen, um ihre Identität festzustellen (lit. a), sie kurz zu befragen (lit. b) und um abzuklären, ob sie eine Straftat begangen hat (lit. c). Die Polizei kann die angehaltene Person gemäss Art. 215 Abs. 2 StPO verpflichten, ihre Personalien anzugeben (lit. a), Ausweispapiere vorzulegen (lit. b), mitgeführte Sachen vorzuzeigen (lit. c) und Behältnisse oder Fahrzeuge zu öffnen (lit. d). Ähnlich sieht § 21 Abs. 2 PolG vor, dass die angehaltene Person verpflichtet ist, Angaben zur Person zu machen, mitgeführte Ausweis- und Bewilligungspapiere vorzuzeigen und zu diesem Zweck Behältnisse und Fahrzeuge zu öffnen. Schliesslich ist die Polizei im strafprozessualen Ermittlungsverfahren nach Art. 306 Abs. 2 lit. a StPO befugt und verpflichtet, Beweise sicherzustellen.</w:t>
      </w:r>
    </w:p>
    <w:p>
      <w:r>
        <w:t>Die polizeiliche Kontrolle des Beschwerdeführers diente sowohl der Erkennung als auch der Verhinderung von Straftaten (Art. 13 lit. f Covid-19-Verordnung besondere Lage; zum fliessenden Übergang zwischen sicherheits- und kriminalpolizeilichen Massnahmen s. Urteil 6B_1070/2018 vom 14. August 2019 E. 1.3.2 mit Hinweis). Der Beschwerdeführer macht nicht geltend, tatsächlich einen besonderen Grund im Sinne der Verordnung gehabt zu haben. Das in den Akten befindliche "Maskenbefreiungsattest" ist weder auf seine Person bezogen noch gehen daraus irgendwelche spezifischen Gründe hervor, aus denen er keine Maske tragen könnte. Der Hinweis der Beschwerdegegner auf die gesetzliche Lage und die Strafandrohung war unter diesen Voraussetzungen ohne Weiteres ebenso zulässig wie die Erstellung einer Kopie des "Maskenbefreiungsattests". Das Vorgehen der Beschwerdegegner hatte seine Grundlage in den oben genannten Rechtsnormen. Daran ändern auch die Hinweise des Beschwerdeführers auf das Datenschutzrecht nichts.</w:t>
      </w:r>
    </w:p>
    <w:p>
      <w:r>
        <w:t>Gestützt auf die vorinstanzlichen Sachverhaltsfeststellungen übten die Beschwerdegegner ihre Machtbefugnisse somit nicht pflichtwidrig aus. Insbesondere handelten sie auch in keiner Weise unverhältnismässig. Damit fehlt es an der Unrechtmässigkeit der Nötigung ( Art. 181 StGB ) und es liegt auch kein Missbrauch der Amtsgewalt vor ( Art. 312 StGB ). Darüber hinaus ist auch nicht erkennbar, dass die Beschwerdegegner die Absicht gehabt hätten, dem Beschwerdeführer einen Nachteil zuzufügen, wie dies der Tatbestand des Amtsmissbrauchs voraussetzen würde. Das Obergericht durfte deshalb die Ermächtigung verweigern, ohne Bundesrecht zu verletzen.</w:t>
      </w:r>
    </w:p>
    <w:p>
      <w:r>
        <w:rPr>
          <w:b/>
        </w:rPr>
        <w:t>E. 4</w:t>
      </w:r>
    </w:p>
    <w:p>
      <w:r>
        <w:t>Die Beschwerde ist aus diesen Erwägungen abzuweisen.</w:t>
      </w:r>
    </w:p>
    <w:p>
      <w:r>
        <w:t>Der Beschwerdeführer ersucht um unentgeltliche Prozessführung und Rechtsverbeiständung. Da sich die Beschwerde als aussichtslos erweist, ist das Gesuch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