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682/2019 vom 10. Januar 2020</w:t>
      </w:r>
    </w:p>
    <w:p>
      <w:r>
        <w:t>Bundesgericht, 2020-01-10, DE</w:t>
      </w:r>
    </w:p>
    <w:p>
      <w:r>
        <w:rPr>
          <w:b/>
        </w:rPr>
        <w:t xml:space="preserve">Quelle: </w:t>
      </w:r>
      <w:r>
        <w:t>https://mcp.opencaselaw.ch/entscheid/bger_1C_682_2019</w:t>
      </w:r>
    </w:p>
    <w:p>
      <w:r>
        <w:t>FR: TF 1C 682/2019 du 10 janvier 2020</w:t>
      </w:r>
    </w:p>
    <w:p>
      <w:r>
        <w:t>IT: TF 1C 682/2019 del 10 gennaio 2020</w:t>
      </w:r>
    </w:p>
    <w:p>
      <w:pPr>
        <w:pStyle w:val="Heading2"/>
      </w:pPr>
      <w:r>
        <w:t>Regeste</w:t>
      </w:r>
    </w:p>
    <w:p>
      <w:r>
        <w:t>Entzug des Führerausweises für Motorfahrzeuge | Strassenbau und Strassenverkehr</w:t>
      </w:r>
    </w:p>
    <w:p>
      <w:pPr>
        <w:pStyle w:val="Heading2"/>
      </w:pPr>
      <w:r>
        <w:t>Erwägungen</w:t>
      </w:r>
    </w:p>
    <w:p>
      <w:r>
        <w:rPr>
          <w:b/>
        </w:rPr>
        <w:t>E. 1</w:t>
      </w:r>
    </w:p>
    <w:p>
      <w:r>
        <w:t>Am 7. Oktober 2018 fand die Polizei A.________ in seinem Personenwagen, der am Strassenrand parkiert, aber noch warm war, vor. Zwei Atemalkoholproben mit einem Testgerät ergaben Werte von 0,74 und 0,71 mg/l. A.________ weigerte sich in der Folge, die von der Polizei angeordnete Atemalkoholprobe mit einem Messgerät oder eine Blutprobe durchzuführen. Die Staatsanwaltschaft Bern-Mittelland sprach A.________ mit in Rechtskraft erwachsenem Strafbefehl vom 4. April 2019 der Widerhandlung gegen das Strassenverkehrsgesetz durch Vereitelung von Massnahmen zur Feststellung der Fahrunfähigkeit schuldig und bestrafte ihn mit einer Geldstrafe von 10 Tagessätzen à Fr. 30.-- sowie einer Verbindungsbusse von Fr. 800.--.</w:t>
      </w:r>
    </w:p>
    <w:p>
      <w:r>
        <w:rPr>
          <w:b/>
        </w:rPr>
        <w:t>E. 2</w:t>
      </w:r>
    </w:p>
    <w:p>
      <w:r>
        <w:t>Mit Verfügung vom 6. Mai 2019 entzog das Strassenverkehrs- und Schifffahrtsamt des Kantons Bern A.________ den Führerausweis wegen einer schweren Widerhandlung gegen die Strassenverkehrsvorschriften für die Dauer von drei Monaten. Dagegen erhob A.________ am 3. Juni 2019 Beschwerde, welche die Rekurskommission des Kantons Bern für Massnahmen gegenüber Fahrzeugführerinnen und Fahrzeugführern mit Urteil vom 18. September 2019 abwies. Zur Begründung führte sie zuammenfassend aus, in Übereinstimmung mit der strafrechtlichen Verurteilung sei davon auszugehen, dass sich A.________ vorsätzlich einer Atemalkoholprobe oder einer Blutprobe widersetzt habe, was eine schwere Widerhandlung i.S.v. Art. 16c Abs. 1 Bst. d SVG darstelle. Dies ziehe einen Führerausweisentzug von drei Monaten nach sich.</w:t>
      </w:r>
    </w:p>
    <w:p>
      <w:r>
        <w:rPr>
          <w:b/>
        </w:rPr>
        <w:t>E. 3</w:t>
      </w:r>
    </w:p>
    <w:p>
      <w:r>
        <w:t>A.________ führt mit Eingabe vom 28. Dezember 2019 Beschwerde in öffentlich-rechtlichen Angelegenheiten gegen das Urteil der Rekurskommission des Kantons Bern für Massnahmen gegenüber Fahrzeugführerinnen und Fahrzeugführern vom 18. September 2019.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seiner hauptsächlich appellatorischen Kritik nicht rechtsgenüglich mit der Begründung der Rekurskommission auseinander. Er vermag folglich nicht aufzuzeigen, inwiefern die Begründung der Rekurskommission bzw. deren Urteil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