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1C_67/2020 vom 23. November 2020</w:t>
      </w:r>
    </w:p>
    <w:p>
      <w:r>
        <w:t>Bundesgericht, 2020-11-23, DE</w:t>
      </w:r>
    </w:p>
    <w:p>
      <w:r>
        <w:rPr>
          <w:b/>
        </w:rPr>
        <w:t xml:space="preserve">Quelle: </w:t>
      </w:r>
      <w:r>
        <w:t>https://mcp.opencaselaw.ch/entscheid/bger_1C_67_2020</w:t>
      </w:r>
    </w:p>
    <w:p>
      <w:r>
        <w:t>FR: TF 1C_67/2020 du 23 novembre 2020</w:t>
      </w:r>
    </w:p>
    <w:p>
      <w:r>
        <w:t>IT: TF 1C_67/2020 del 23 novembre 2020</w:t>
      </w:r>
    </w:p>
    <w:p>
      <w:pPr>
        <w:pStyle w:val="Heading2"/>
      </w:pPr>
      <w:r>
        <w:t>Erwägungen</w:t>
      </w:r>
    </w:p>
    <w:p>
      <w:r>
        <w:rPr>
          <w:b/>
        </w:rPr>
        <w:t>E. 1.1</w:t>
      </w:r>
    </w:p>
    <w:p>
      <w:r>
        <w:t>Mit dem angefochtenen Beschluss hat die zuständige Vorinstanz die Erteilung der Ermächtigung verweigert, die es nach dem Recht des Kantons Zürich für die Eröffnung einer Strafuntersuchung gegen die Beschwerdegegner braucht (vgl. § 148 des Gesetzes vom 10. Mai 2010 über die Gerichts- und Behördenorganisation im Zivil- und Strafprozess des Kantons Zürich [GOG/ZH; OS 211.1]). Der Beschluss kann als kantonal letztinstanzlicher Endentscheid grundsätzlich mit Beschwerde in öffentlich-rechtlichen Angelegenheiten an das Bundesgericht weitergezogen werden. Die Strafanzeige betrifft nicht Mitglieder der obersten kantonalen Vollziehungs- und Gerichtsbehörden, weshalb der Ausschlussgrund von Art. 83 lit. e BGG nicht zur Anwendung kommt (vgl. Art. 82 lit. a, Art. 86 Abs. 1 lit. d und Art. 90 BGG ; BGE 137 IV 269 E. 1.3.1 f. S. 272 f.).</w:t>
      </w:r>
    </w:p>
    <w:p>
      <w:r>
        <w:rPr>
          <w:b/>
        </w:rPr>
        <w:t>E. 1.2</w:t>
      </w:r>
    </w:p>
    <w:p>
      <w:r>
        <w:t>Gegenstand des angefochtenen Entscheids bildet die Frage, ob hinsichtlich der Tatvorwürfe gemäss der Strafanzeige des Beschwerdeführers die Ermächtigung zur Durchführung einer Strafuntersuchung zu erteilen ist. Soweit der Beschwerdeführer in seiner Beschwerde neue Tatvorwürfe erhebt, die gewisse Vorbringen in der Duplik der Reformierten Kirchgemeinde Opfikon im erwähnten Rekursverfahren betreffen, und, soweit ersichtlich, sinngemäss auch diesbezüglich die Erteilung der Ermächtigung verlangt, geht er über den angefochtenen Entscheid und damit den zulässigen Streitgegenstand des vorliegenden Beschwerdeverfahrens hinaus. Insoweit ist daher nicht auf die Beschwerde einzutreten.</w:t>
      </w:r>
    </w:p>
    <w:p>
      <w:r>
        <w:t>Über den Streitgegenstand des vorliegenden Beschwerdeverfahrens hinaus geht auch der Antrag, die Staatsanwaltschaft II sei anzuweisen, ein Vorverfahren zu eröffnen. Im Ermächtigungsverfahren wird nicht über die Eröffnung einer Untersuchung oder die Nichtanhandnahme entschieden; dieser Entscheid obliegt kraft ausdrücklicher bundesrechtlicher Regelung vielmehr der Staatsanwaltschaft ( Art. 309 und 310 StPO ; BGE 137 IV 269 E. 2.3 S. 277). Insoweit ist daher ebenfalls nicht auf die Beschwerde einzutreten.</w:t>
      </w:r>
    </w:p>
    <w:p>
      <w:r>
        <w:rPr>
          <w:b/>
        </w:rPr>
        <w:t>E. 1.3</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mit Hinweis).</w:t>
      </w:r>
    </w:p>
    <w:p>
      <w:r>
        <w:t>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Geschädigtenstellung fehlt ( Art. 301 Abs. 2 und 3 StPO ). Insoweit mangelt es ihr daher am Rechtsschutzinteresse nach Art. 89 Abs. 1 lit. b und c BGG und ist auf die Beschwerde nicht einzutreten (zum Ganzen: Urteile 1C_3/2017 vom 14. März 2017 E. 1.2.2 f.; 1C_270/2016 vom 16. Februar 2017 E. 1.2.1 ff.; 1C_344/2012 vom 31. Oktober 2012 E. 2.1 ff.).</w:t>
      </w:r>
    </w:p>
    <w:p>
      <w:r>
        <w:t>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S. 457; 138 IV 258 E. 2.3 S. 263; je mit Hinweisen).</w:t>
      </w:r>
    </w:p>
    <w:p>
      <w:r>
        <w:rPr>
          <w:b/>
        </w:rPr>
        <w:t>E. 1.3.1</w:t>
      </w:r>
    </w:p>
    <w:p>
      <w:r>
        <w:t>In Bezug auf die geltend gemachte üble Nachrede ( Art. 173 Ziff. 1 StGB ), Verleumdung (gemeint sein dürfte Art. 174 Ziff. 1 StGB ) und Beschimpfung ( Art. 177 Abs. 1 StGB ) gilt der Beschwerdeführer nach Art. 115 Abs. 2 StPO als geschädigte Person.</w:t>
      </w:r>
    </w:p>
    <w:p>
      <w:r>
        <w:rPr>
          <w:b/>
        </w:rPr>
        <w:t>E. 1.3.2</w:t>
      </w:r>
    </w:p>
    <w:p>
      <w:r>
        <w:t>Der Straftatbestand des Amtsmissbrauchs ( Art. 312 StGB ) schützt sekundär auch das Interesse der Bürger, nicht unkontrollierter und willkürlicher staatlicher Machtentfaltung ausgesetzt zu werden ( BGE 127 IV 209 E. 1b S. 212 f.; Urteile 6B_214/2019 vom 15. Mai 2019 E. 4.7; 6B_1318/2017 vom 9. Februar 2018 E. 7.2.3 und 7.3). Als Geschädigte gelten dabei nur Personen, die durch die tatbestandsmässige Handlung unmittelbar beeinträchtigt worden sind (vgl. Urteile 6B_297/2018 vom 6. September 2018 E. 4.6.2; 1C_270/2016 vom 16. Februar 2017 E. 1.2.2; vorne E. 1.3). Der Beschwerdeführer macht unter dem Titel Amtsmissbrauch zum einen geltend, es sei gegen ihn eine "Zwangsmassnahme" ergriffen worden. Zum anderen bringt er vor, die Mitarbeitenden der Beschwerdegegnerin 1 seien als Zeugen instrumentalisiert worden, um ihn in Misskredit zu bringen. Jedenfalls teilweise käme es somit in Betracht, ihn im Rahmen der Eintretensprüfung in Bezug auf den Tatvorwurf des Amtsmissbrauchs als geschädigte Person zu betrachten. Mit Blick auf die nachfolgenden Erwägungen (vgl. E. 5.2, ist darauf jedoch nicht weiter einzugehen).</w:t>
      </w:r>
    </w:p>
    <w:p>
      <w:r>
        <w:rPr>
          <w:b/>
        </w:rPr>
        <w:t>E. 1.3.3</w:t>
      </w:r>
    </w:p>
    <w:p>
      <w:r>
        <w:t>Der Straftatbestand der ungetreuen Amtsführung ( Art. 314 StGB ) dient dem Schutz öffentlicher Interessen, insbesondere des öffentlichen Vermögens. Geschädigt ist nur das betroffene Gemeinwesen (vgl. Urteile 6B_1318/2017 vom 9. Februar 2018 E. 7.2.4; 6B_602/2017 vom 28. November 2017 E. 2.2; 6B_761/2016 vom 16. Mai 2017 E. 3.4.1; MAZZUCHELLI/POSTIZZI, in: Basler Kommentar, Schweizerische Strafprozessordnung, 2. Aufl. 2014, N. 85 zu Art. 115 StPO ). Insoweit ist der Beschwerdeführer daher von vornherein nicht Geschädigter im Sinne von Art. 115 StPO (vgl. Urteil 6B_761/2016 vom 16. Mai 2017 E. 3.4.1). Dasselbe gilt hinsichtlich der geltend gemachten Begünstigung ( Art. 305 StGB ). Dieser Straftatbestand schützt lediglich das Funktionieren der Strafrechtspflege, das heisst ein kollektives Rechtsgut, und keine individuellen Rechtsgüter (vgl. Urteile 6B_297/2018 vom 6. September 2018 E. 4.5.2; 6B_761/2016 vom 16. Mai 2017 E. 3.4.1; 1C_382/2012 vom 10. Oktober 2012 E. 2.6).</w:t>
      </w:r>
    </w:p>
    <w:p>
      <w:r>
        <w:rPr>
          <w:b/>
        </w:rPr>
        <w:t>E. 1.3.4</w:t>
      </w:r>
    </w:p>
    <w:p>
      <w:r>
        <w:t>Dem Beschwerdeführer mangelt es somit jedenfalls hinsichtlich der Tatvorwürfe der ungetreuen Amtsführung und der Begünstigung an der Geschädigtenstellung im Sinne von Art. 115 StPO und damit an der Beschwerdelegitimation. Bezüglich dieser Tatvorwürfe ist daher ebenfalls nicht auf die Beschwerde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(Art. 42 Abs. 2 i.V.m. Art. 106 Abs. 2 BGG ).</w:t>
      </w:r>
    </w:p>
    <w:p>
      <w:r>
        <w:rPr>
          <w:b/>
        </w:rPr>
        <w:t>E. 3</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 BGE 137 IV 269 E. 2.3 S. 277). 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1C_395/2018 vom 21. Mai 2019 E. 2; 1C_57/2018 vom 19. November 2018 E. 2.2; 1C_584/2017 vom 1. Juni 2018 E. 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mangle an einem hinreichenden Tatverdacht (Urteile 1C_395/2018 vom 21. Mai 2019 E. 2; 1C_57/2018 vom 19. November 2018 E. 2.2; 1C_584/2017 vom 1. Juni 2018 E. 2).</w:t>
      </w:r>
    </w:p>
    <w:p>
      <w:r>
        <w:rPr>
          <w:b/>
        </w:rPr>
        <w:t>E. 4.1</w:t>
      </w:r>
    </w:p>
    <w:p>
      <w:r>
        <w:t>Der Beschwerdeführer rügt in formeller Hinsicht, die Vorinstanz habe sich im angefochtenen Entscheid nur vage zu den in der Strafanzeige vorgebrachten Verdachtsmomenten und nicht weiter zur Frage geäussert, inwiefern die Voraussetzungen für die Erteilung der Ermächtigung vorlägen. Damit habe sie ihre Begründungspflicht verletzt.</w:t>
      </w:r>
    </w:p>
    <w:p>
      <w:r>
        <w:rPr>
          <w:b/>
        </w:rPr>
        <w:t>E. 4.2</w:t>
      </w:r>
    </w:p>
    <w:p>
      <w:r>
        <w:t>Im Ermächtigungsverfahren kommen die allgemeinen Verfahrensgrundsätze der BV und der EMRK zur Anwendung. Die Beteiligten haben daher insbesondere Anspruch auf rechtliches Gehör nach Art. 29 Abs. 2 BV und damit auch darauf, dass der Entscheid über die Erteilung der Ermächtigung rechtsgenüglich begründet wird ( BGE 137 IV 269 E. 2.6 S. 278 mit Hinweisen). Die Vorinstanz ist auf die Tatvorwürfe des Beschwerdeführers eingegangen und hat sowohl die von diesem beanstandeten Vorbringen in der Rekursantwort der Reformierten Kirchgemeinde Opfikon als auch den Entzug des Zugangs zum Archiv der Kirchenpflege als strafrechtlich irrelevant beurteilt. Sie hat ausgeführt, die fraglichen Äusserungen begründeten insbesondere kein Ehrverletzungsdelikt. Es gehe nicht an, dass der Beschwerdeführer die Rekursgegnerschaft mittels Strafanzeigen daran hindere, ihren Standpunkt in der personalrechtlichen Auseinandersetzung zu vertreten und ihre diesbezügliche Sichtweise einzubringen (mit Verweis auf BGE 116 IV 221 [recte: 211] E. 4a S. 213 ff.). Der Beschwerdeführer habe weiter keinen Anspruch auf Zugang zum Archiv. Ob der Entzug gewisser Aufgaben zulässig gewesen sei, sei eine rein personalrechtliche Frage, die im entsprechenden Rekursverfahren zu behandeln sei. Die Begründung der Vorinstanz ermöglichte dem Beschwerdeführer, sich über die Tragweite des angefochtenen Entscheids Rechenschaft zu geben und diesen in voller Kenntnis der Sache an das Bundesgericht weiterzuziehen. Die Vorinstanz hat die Begründungspflicht bzw. den Anspruch auf rechtliches Gehör des Beschwerdeführers daher nicht verletzt (vgl. BGE 143 III 65 E. 5.2 S. 70 f. mit Hinweisen).</w:t>
      </w:r>
    </w:p>
    <w:p>
      <w:r>
        <w:rPr>
          <w:b/>
        </w:rPr>
        <w:t>E. 5.1</w:t>
      </w:r>
    </w:p>
    <w:p>
      <w:r>
        <w:t>Der Beschwerdeführer rügt in materieller Hinsicht, die Staatsanwaltschaft habe den Sachverhalt unvollständig und aktenwidrig festgestellt. Die Vorinstanz habe auf diese Sachverhaltsfeststellung abgestellt und die Erteilung der Ermächtigung verweigert, obschon er mehrere, mindestens minimale Hinweise auf ein strafrechtlich relevantes Verhalten glaubhaft gemacht habe.</w:t>
      </w:r>
    </w:p>
    <w:p>
      <w:r>
        <w:rPr>
          <w:b/>
        </w:rPr>
        <w:t>E. 5.2</w:t>
      </w:r>
    </w:p>
    <w:p>
      <w:r>
        <w:t>Die Vorinstanz hat, wie erwähnt, die vom Beschwerdeführer beanzeigten Sachverhalte als strafrechtlich irrelevant beurteilt. Dass diese Beurteilung auf einer aktenwidrigen oder sonst offensichtlich unrichtigen Sachverhaltsfeststellung beruhen würde (vgl. dazu vorne E. 2; BGE 144 II 281 E. 3.6.2 S. 287; 132 II 290 E. 3.2.2 S. 296) oder entscheidrelevante Umstände bzw. Verdachtsmomente ausser Acht liesse (vgl. BGE 137 I 58 E. 4.1.2 S. 62), ergibt sich aus den Vorbringen des Beschwerdeführers nicht. Ebenso wenig geht daraus hervor, dass die Vorinstanz einen mit der Rechtsprechung nicht zu vereinbarenden strengen Massstab angewandt und trotz eines Mindestmasses an Hinweisen auf ein strafrechtlich relevantes Verhalten die Erteilung der Ermächtigung verweigert hätte. Der Beschwerdeführer äussert sich insbesondere nicht dazu, wieso die von ihm beanstandeten Äusserungen in der Rekursantwort der Reformierten Kirchgemeinde Opfikon trotz der von der Vorinstanz zitierten bundesgerichtlichen Rechtsprechung (vgl. vorne E. 4.2) ein Ehrverletzungsdelikt begründen sollten. Ebenso wenig ergibt sich aus seinen Vorbringen, dass der Entzug des Zugangs zum Archiv entgegen der Beurteilung der Vorinstanz strafrechtlich relevant wäre. Soweit in materieller Hinsicht auf die Beschwerde eingetreten werden kann, erweist sich diese demnach ungeachtet der Frage, inwieweit die entsprechenden Rügen den Begründungsanforderungen genügen, ebenfalls als unbegründet.</w:t>
      </w:r>
    </w:p>
    <w:p>
      <w:r>
        <w:rPr>
          <w:b/>
        </w:rPr>
        <w:t>E. 6</w:t>
      </w:r>
    </w:p>
    <w:p>
      <w:r>
        <w:t>Damit ist die Beschwerde abzuweisen, soweit darauf eingetreten werden kann.</w:t>
      </w:r>
    </w:p>
    <w:p>
      <w:r>
        <w:t>Bei diesem Ausgang des Verfahrens wird der Beschwerdeführer kostenpflichtig ( Art. 66 Abs. 1 BGG ). Zwar stellt er für das bundesgerichtliche Beschwerdeverfahren ein Gesuch um unentgeltliche Rechtspflege. Dieses ist jedoch abzuweisen, da sein Rechtsbegehren aussichtslos war (vgl. Art. 64 BGG ). Seiner finanziellen Lage ist bei der Festsetzung der Gerichtskosten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