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67/2019 vom 7. Februar 2019</w:t>
      </w:r>
    </w:p>
    <w:p>
      <w:r>
        <w:t>Bundesgericht, 2019-02-07, DE</w:t>
      </w:r>
    </w:p>
    <w:p>
      <w:r>
        <w:rPr>
          <w:b/>
        </w:rPr>
        <w:t xml:space="preserve">Quelle: </w:t>
      </w:r>
      <w:r>
        <w:t>https://mcp.opencaselaw.ch/entscheid/bger_1C_67_2019</w:t>
      </w:r>
    </w:p>
    <w:p>
      <w:r>
        <w:t>FR: TF 1C 67/2019 du 7 février 2019</w:t>
      </w:r>
    </w:p>
    <w:p>
      <w:r>
        <w:t>IT: TF 1C 67/2019 del 7 febbraio 2019</w:t>
      </w:r>
    </w:p>
    <w:p>
      <w:pPr>
        <w:pStyle w:val="Heading2"/>
      </w:pPr>
      <w:r>
        <w:t>Regeste</w:t>
      </w:r>
    </w:p>
    <w:p>
      <w:r>
        <w:t>Entzug des Führerausweises für Motorfahrzeuge | Strassenbau und Strassenverkehr</w:t>
      </w:r>
    </w:p>
    <w:p>
      <w:pPr>
        <w:pStyle w:val="Heading2"/>
      </w:pPr>
      <w:r>
        <w:t>Erwägungen</w:t>
      </w:r>
    </w:p>
    <w:p>
      <w:r>
        <w:rPr>
          <w:b/>
        </w:rPr>
        <w:t>E. 1</w:t>
      </w:r>
    </w:p>
    <w:p>
      <w:r>
        <w:t>Das Strassenverkehrs- und Schifffahrtsamt des Kantons Bern entzog A.________ mit Verfügung vom 23. Juli 2018 den Führerausweis für Motorfahrzeuge aller Kategorien für die Dauer eines Monats. Dem Entzug liegt ein Vorfall vom 19. Februar 2016 zugrunde, wonach A.________ in U.________ einen Auffahrunfall mit einem nachfolgenden Fahrzeug verursachte, indem er brüsk und ohne ersichtlichen Grund gebremst habe. Das Regionalgericht Berner Jura-Seeland verurteilte ihn deswegen wegen einer einfachen Verkehrsregelverletzung zu einer Busse von Fr. 300.--. A.________ erhob gegen die Verfügung des Strassenverkehrs- und Schifffahrtsamts Beschwerde, welche die Rekurskommission des Kantons Bern für Massnahmen gegenüber Fahrzeugführerinnen und Fahrzeugführern mit Entscheid vom 24. Oktober 2018 abwies. Gleichzeitig trat die Rekurskommission auf ein gegen sich selbst gerichtetes Ablehnungsbegehren nicht ein. Zur Begründung führte die Rekurskommission zusammenfassend aus, dass die Ausstandspflicht nur Personen, aber nicht ganze Behörden betreffe. Es sei nicht ersichtlich, inwiefern Mitglieder des Spruchkörpers befangen sein könnten, und solches mache A.________ auch nicht geltend. Auf das Ausstandsgesuch sei deshalb nicht einzutreten. A.________ sei wegen eines Schikanestopps mit Unfallfolgen mit Strafurteil verurteilt worden. Das Strafgericht sei von einer einfachen Verkehrsregelverletzung ausgegangen. Diese decke sowohl die leichte als auch die mittelschwere Widerhandlung ab. Vorliegend habe A.________ eine konkrete Gefährdung geschaffen und sein Verschulden könne nicht als leicht gewertet werden. Es sei von einem mittelschweren Fall auszugehen. Die Entzugsdauer von einem Monat sei somit nicht zu beanstanden.</w:t>
      </w:r>
    </w:p>
    <w:p>
      <w:r>
        <w:rPr>
          <w:b/>
        </w:rPr>
        <w:t>E. 2</w:t>
      </w:r>
    </w:p>
    <w:p>
      <w:r>
        <w:t>A.________ führt mit Eingabe vom 30. Januar 2019 Beschwerde in öffentlich-rechtlichen Angelegenheiten gegen den Entscheid der Rekurskommission des Kantons Bern für Massnahmen gegenüber Fahrzeugführerinnen und Fahrzeugführern vom 24. Oktober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nicht aufzuzeigen, dass die Rekurskommission sein Ablehnungsbegehren rechts- oder verfassungswidrig behandelt hätte. In der Sache selbst legte die Rekurskommission dar, weshalb eine mittelschwere Widerhandlung gemäss Administrativverfahren nicht im Widerspruch zur einfachen Verkehrsregelverletzung gemäss Strafurteil stehe. Sie machte auch Ausführungen, weshalb vorliegend von einer mittelschweren Widerhandlung auszugehen sei, die zu einer Mindestentzugsdauer von einem Monat führe. Damit setzt sich der Beschwerdeführer in seiner Beschwerde nicht auseinander und vermag folglich nicht nachvollziehbar aufzuzeigen, inwiefern die Begründung der Rekurskommission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