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679/2019 vom 14. Januar 2021</w:t>
      </w:r>
    </w:p>
    <w:p>
      <w:r>
        <w:t>Bundesgericht, 2021-01-14, DE</w:t>
      </w:r>
    </w:p>
    <w:p>
      <w:r>
        <w:rPr>
          <w:b/>
        </w:rPr>
        <w:t xml:space="preserve">Quelle: </w:t>
      </w:r>
      <w:r>
        <w:t>https://mcp.opencaselaw.ch/entscheid/bger_1C_679_2019</w:t>
      </w:r>
    </w:p>
    <w:p>
      <w:r>
        <w:t>FR: TF 1C 679/2019 du 14 janvier 2021</w:t>
      </w:r>
    </w:p>
    <w:p>
      <w:r>
        <w:t>IT: TF 1C 679/2019 del 14 gennaio 2021</w:t>
      </w:r>
    </w:p>
    <w:p>
      <w:pPr>
        <w:pStyle w:val="Heading2"/>
      </w:pPr>
      <w:r>
        <w:t>Regeste</w:t>
      </w:r>
    </w:p>
    <w:p>
      <w:r>
        <w:t>Entfernung einer Hecke | Raumplanung und öffentliches Baurecht</w:t>
      </w:r>
    </w:p>
    <w:p>
      <w:pPr>
        <w:pStyle w:val="Heading2"/>
      </w:pPr>
      <w:r>
        <w:t>Erwägungen</w:t>
      </w:r>
    </w:p>
    <w:p>
      <w:r>
        <w:rPr>
          <w:b/>
        </w:rPr>
        <w:t>E. 1.1</w:t>
      </w:r>
    </w:p>
    <w:p>
      <w:r>
        <w:t>Das Bundesgericht prüft seine Zuständigkeit und die weiteren Eintretensvoraussetzungen von Amtes wegen und mit freier Kognition ( Art. 29 Abs. 1 BGG ; BGE 141 II 113 E. 1 S. 116; 135 II 94 E. 1 S. 96).</w:t>
      </w:r>
    </w:p>
    <w:p>
      <w:r>
        <w:rPr>
          <w:b/>
        </w:rPr>
        <w:t>E. 1.2</w:t>
      </w:r>
    </w:p>
    <w:p>
      <w:r>
        <w:t>Angefochten ist ein kantonal letztinstanzlicher Entscheid über eine vorsorgliche Massnahme in einer Angelegenheit des öffentlichen Rechts ( Art. 82 lit. a sowie Art. 86 Abs. 1 lit. d und Abs. 2 BGG ). Es handelt sich um einen selbstständig eröffneten Zwischenentscheid im Sinne von Art. 93 BGG , gegen den die Beschwerde in öffentlich-rechtlichen Angelegenheiten an das Bundesgericht zulässig ist, wenn er einen nicht wieder gutzumachenden Nachteil bewirken kann ( Art. 93 Abs. 1 lit. a BGG ). Grundsätzlich setzt die Beschwerde in öffentlich-rechtlichen Angelegenheiten einen nicht wieder gutzumachenden Nachteil rechtlicher Natur voraus, wobei die Möglichkeit eines solchen Nachteils genügt. Unter gewissen Umständen kann jedoch ein rein tatsächlicher Nachteil ausreichen (vgl. BGE 135 II 30 E. 1.3.4 S. 36 f. mit Hinweisen; Urteil 1C_175/2013 vom 11. September 2013 E. 1.3, nicht publ. in BGE 139 II 499 ). Der Beschwerdeführer hat darzutun, dass die Voraussetzung von Art. 93 Abs. 1 lit. a BGG erfüllt ist, es sei denn, dies sei offensichtlich (vgl. BGE 142 V 26 E. 1.2 S. 28 mit Hinweisen). Das gilt auch, soweit es um eine vorsorgliche Massnahme geht (vgl. BGE 137 III 324 E. 1.1 S. 329 f.; Urteil 2C_645/2018 vom 28. September 2018 E. 1.3.1).</w:t>
      </w:r>
    </w:p>
    <w:p>
      <w:r>
        <w:rPr>
          <w:b/>
        </w:rPr>
        <w:t>E. 1.3</w:t>
      </w:r>
    </w:p>
    <w:p>
      <w:r>
        <w:t>Die mit dem angefochtenen Entscheid geschützte Weigerung des Baurekursgerichts, das strittige vorsorgliche Beseitigungsverbot für die Hecke anzuordnen, mag zwar zu deren Beseitigung führen. Damit würde jedoch nur das rechtskräftige Zivilurteil des Bezirksgerichts Zürich vom 18. Dezember 2017 vollstreckt, mit dem die Beschwerdeführer 1 zur Entfernung der Hecke verpflichtet wurden und bezüglich dessen ein in Rechtskraft erwachsener Vollstreckungsentscheid desselben Gerichts vorliegt. Zur Vollstreckung dieses Urteils käme es weiter auch dann, wenn der heutige Standort der Hecke, wie von den Beschwerdeführern in ihrem Gesuch vom 30. Juli 2019 an die Stadt Zürich beantragt, nach den öffentlich-rechtlichen Vorgaben der Gartendenkmalpflege genehmigt werden könnte. Ob dieser Standort - gemäss der Gesuchseingabe der Beschwerdeführer wurde die Hecke erweitert und auf die gemeinsame Grenze der Parzellen X.________strasse xxx und yyy gesetzt - mit den Vorgaben der Gartendenkmalpflege vereinbar ist, betrifft weder die Frage, ob die Hecke aus zivilrechtlichen Gründen entfernt werden muss, noch jene, ob ihre Entfernung gartendenkmalrechtlich unzulässig ist. Diese Fragen bildeten Gegenstand der Zivilverfahren, in denen erstere Frage bejaht und letztere unter Einholung einer schriftlichen Auskunft der Gartendenkmalpflege verneint wurde. Sie wären hingegen nicht Gegenstand des Genehmigungsverfahrens, dessen Durchführung die Beschwerdeführer mit ihrem Rekurs beim Baurekursgericht erreichen wollen. Unter diesen Umständen ist nicht ersichtlich, dass der angefochtene Entscheid für die Beschwerdeführer einen nicht wieder gutzumachenden rechtlichen Nachteil zur Folge haben könnte. Ebenso wenig ergibt sich solches aus ihren Vorbringen. Ein Fall, in dem gemäss der bundesgerichtlichen Rechtsprechung ausnahmsweise ein rein tatsächlicher Nachteil genügen würde, liegt zudem nicht vor. Ein nicht wieder gutzumachender rechtlicher Nachteil war weiter auch bei Beschwerdeeinreichung auszuschliessen, hatte das Bundesgericht doch den subsidiären Verfassungsbeschwerden der Beschwerdeführer gegen die obergerichtlichen Urteile vom 8. und 9. Juli 2019 betreffend Vollstreckung zu einem früheren Zeitpunkt die aufschiebende Wirkung erteilt. Der angefochtene Entscheid ist somit kein Anfechtungsobjekt im Sinne von Art. 93 Abs. 1 lit. a BGG , die Beschwerde daher unzulässig.</w:t>
      </w:r>
    </w:p>
    <w:p>
      <w:r>
        <w:rPr>
          <w:b/>
        </w:rPr>
        <w:t>E. 2</w:t>
      </w:r>
    </w:p>
    <w:p>
      <w:r>
        <w:t>Demnach kann auf die Beschwerde nicht eingetreten werden. Bei diesem Ausgang des Verfahrens werden die Beschwerdeführer kostenpflichtig ( Art. 66 Abs. 1 und 5 BGG ). Sie haben zudem den Beschwerdegegner für das bundesgerichtliche Verfahren zu entschädigen ( Art. 68 BGG ). Die Stadt Zürich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