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1C_677/2021 vom 19. Januar 2023</w:t>
      </w:r>
    </w:p>
    <w:p>
      <w:r>
        <w:t>Bundesgericht, 2023-01-19, DE</w:t>
      </w:r>
    </w:p>
    <w:p>
      <w:r>
        <w:rPr>
          <w:b/>
        </w:rPr>
        <w:t xml:space="preserve">Quelle: </w:t>
      </w:r>
      <w:r>
        <w:t>https://mcp.opencaselaw.ch/entscheid/bger_1C_677_2021</w:t>
      </w:r>
    </w:p>
    <w:p>
      <w:r>
        <w:t>FR: TF 1C_677/2021 du 19 janvier 2023</w:t>
      </w:r>
    </w:p>
    <w:p>
      <w:r>
        <w:t>IT: TF 1C_677/2021 del 19 gennaio 2023</w:t>
      </w:r>
    </w:p>
    <w:p>
      <w:pPr>
        <w:pStyle w:val="Heading2"/>
      </w:pPr>
      <w:r>
        <w:t>Erwägungen</w:t>
      </w:r>
    </w:p>
    <w:p>
      <w:r>
        <w:rPr>
          <w:b/>
        </w:rPr>
        <w:t>E. 1.1</w:t>
      </w:r>
    </w:p>
    <w:p>
      <w:r>
        <w:t>Gestützt auf Art. 82 lit. a BGG beurteilt das Bundesgericht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1.2</w:t>
      </w:r>
    </w:p>
    <w:p>
      <w:r>
        <w:t>Streitgegenstand bildet einzig die Frage, ob das Verwaltungsgericht auf die bei ihm erhobene Beschwerde wegen Fehlens der erforderlichen Legitimation zu Recht nicht eingetreten ist. Dass es sich subsidiär kurz auch zur Sache geäussert hat, führt nicht dazu, dass sich der Streitgegenstand auf die materielle Beurteilung der Sache erstreckt. Das Verwaltungsgericht nahm keine vollständige inhaltliche Prüfung der Streitsache vor, was sich sowohl aus der Begründung als auch aus dem Dispositiv des angefochtenen Entscheids ergibt.</w:t>
      </w:r>
    </w:p>
    <w:p>
      <w:r>
        <w:rPr>
          <w:b/>
        </w:rPr>
        <w:t>E. 1.3</w:t>
      </w:r>
    </w:p>
    <w:p>
      <w:r>
        <w:t>Mit der Beschwerde an das Bundesgericht kann in rechtlicher Hinsicht, von hier nicht interessierenden Ausnahmen abgesehen, nur die Verletzung von Bundesrecht unter Einschluss des Bundesverfassungsrechts (vgl. Art. 95 lit. a BGG ) gerügt werden. Das Bundesgericht wendet das Recht von Amtes wegen an ( Art. 106 Abs. 1 BGG ), prüft die bei ihm angefochtenen Entscheide aber grundsätzlich nur auf Rechtsverletzungen hin, die von den Beschwerdeführenden geltend gemacht und begründet werden (vgl. Art. 42 Abs. 2 BGG ). Erhöhte Anforderungen an die Begründung gelten, soweit die Verletzung von Grundrechten gerügt wird ( Art. 106 Abs. 2 BGG ; BGE 133 II 249 E. 1.4.2 S. 254 mit Hinweisen).</w:t>
      </w:r>
    </w:p>
    <w:p>
      <w:r>
        <w:rPr>
          <w:b/>
        </w:rPr>
        <w:t>E. 2.1</w:t>
      </w:r>
    </w:p>
    <w:p>
      <w:r>
        <w:t>Der Beschwerdeführer macht geltend, das Verwaltungsgericht hätte ihm die Beschwerdeberechtigung zumindest aufgrund seiner Forschungstätigkeit zusprechen müssen.</w:t>
      </w:r>
    </w:p>
    <w:p>
      <w:r>
        <w:rPr>
          <w:b/>
        </w:rPr>
        <w:t>E. 2.2</w:t>
      </w:r>
    </w:p>
    <w:p>
      <w:r>
        <w:t>Das Verwaltungsgericht richtete sich bei der Beurteilung der Beschwerdelegitimation an der entsprechenden Rechtsprechung des Bundesgerichts zu Art. 89 Abs. 1 BGG aus, die für dessen Vorinstanzen wenigstens als Minimalstandard massgeblich ist (vgl. Art. 110 BGG ). Nach dieser Rechtsprechung sind Nachbarn zur Beschwerdeführung gegen ein Bauvorhaben berechtigt,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1C_87/2020 vom 16. Juli 2021 E. 2.2 mit Hinweisen).</w:t>
      </w:r>
    </w:p>
    <w:p>
      <w:r>
        <w:rPr>
          <w:b/>
        </w:rPr>
        <w:t>E. 2.3</w:t>
      </w:r>
    </w:p>
    <w:p>
      <w:r>
        <w:t>Weder wohnt der Beschwerdeführer in einer Distanz von maximal 100 m vom Bauvorhaben noch liegt seine Megalith-Ausstellung innerhalb dieser massgeblichen Entfernung. Der Beschwerdeführer erleidet auch keine besondere Beeinträchtigung durch vom Bauprojekt ausgehende Immissionen. Er begründet seine angebliche besondere Betroffenheit im Wesentlichen einzig durch seine Forschungstätigkeit zu Schalensteinen und deren Wert für die Allgemeinheit. Ohne die Bedeutung dieser Forschungstätigkeit in Frage zu stellen, verschafft ihm das jedoch keine persönliche Beschwerdelegitimation. Betroffen sind davon öffentliche Interessen, die durch andere Rechtsvorkehren als durch die individuelle Beschwerdelegitimation von Privatpersonen geschützt werden, bspw. durch die Verpflichtung der Behörden, die öffentlichen Interessen zu wahren, oder durch allfällige Beschwerdeberechtigungen juristischer Personen wie namentlich von Heimat- und Denkmalschutzverbänden.</w:t>
      </w:r>
    </w:p>
    <w:p>
      <w:r>
        <w:rPr>
          <w:b/>
        </w:rPr>
        <w:t>E. 2.4</w:t>
      </w:r>
    </w:p>
    <w:p>
      <w:r>
        <w:t>Das Verwaltungsgericht verstiess damit nicht gegen Bundesrecht, indem es dem Beschwerdeführer die Legitimation zur Beschwerdeerhebung versagte.</w:t>
      </w:r>
    </w:p>
    <w:p>
      <w:r>
        <w:rPr>
          <w:b/>
        </w:rPr>
        <w:t>E. 3.1</w:t>
      </w:r>
    </w:p>
    <w:p>
      <w:r>
        <w:t>Damit kann sich einzig noch fragen, ob der Beschwerdeführer allenfalls die Verletzung seines Anspruchs auf rechtliches Gehör als prozessuales Parteirecht geltend machen könnte. Trotz fehlender Legitimation in der Sache selbst ist die beschwerdeführende Person zur Rüge berechtigt, ihr zustehende Verfahrensgarantien seien verletzt worden, namentlich solche, die auf eine formelle Rechtsverweigerung hinauslaufen. Nicht zu hören sind dabei allerdings Vorbringen, die im Ergebnis auf die Überprüfung des Sachentscheids abzielen (vgl. BGE 135 II 430 E. 3.2; s. auch BGE 138 IV 78 E. 1.3 ; 129 I 217 E. 1.4; 114 Ia 307 E. 3c).</w:t>
      </w:r>
    </w:p>
    <w:p>
      <w:r>
        <w:rPr>
          <w:b/>
        </w:rPr>
        <w:t>E. 3.2</w:t>
      </w:r>
    </w:p>
    <w:p>
      <w:r>
        <w:t>Ob insofern eine Beschwerdeberechtigung des Beschwerdeführers besteht, kann jedoch dahingestellt bleiben. Mit seinen Ausführungen vermag dieser nämlich nicht darzutun, inwiefern ihm das Verwaltungsgericht im Hinblick auf die hier einzig zu prüfende Streitfrage der Beschwerdelegitimation das Gehör verweigert haben sollte. Die Beschwerdeberechtigung stellt eine Prozessvoraussetzung dar, die von einer Rechtsmittelinstanz in jedem Fall von Amtes wegen zu prüfen ist. Dazu hat sich in der Rechtsschrift zu äussern, wer ein Rechtsmittel ergreift. Es ist höchstens allenfalls dann dazu nachträglich die Gelegenheit zur Stellungnahme zu gewähren, wenn, bspw. wegen einer Praxisänderung, nicht vorhersehbar war, dass die Rechtsmittelinstanz die Legitimation verneinen könnte. Eine solche Ausnahmelage ist hier nicht gegeben. Auf die Frage der Gehörsverweigerung oder der willkürlichen Beweiswürdigung bzw. Sachverhaltsfeststellung in der Sache ist schliesslich schon deshalb nicht einzutreten, weil das nicht zum Streitgegenstand gehört und überdies auf eine unzulässige inhaltliche Überprüfung des angefochtenen Entscheids hinausliefe.</w:t>
      </w:r>
    </w:p>
    <w:p>
      <w:r>
        <w:rPr>
          <w:b/>
        </w:rPr>
        <w:t>E. 4</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