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1C_676/2020 vom 15. Dezember 2020</w:t>
      </w:r>
    </w:p>
    <w:p>
      <w:r>
        <w:t>Bundesgericht, 2020-12-15, DE</w:t>
      </w:r>
    </w:p>
    <w:p>
      <w:r>
        <w:rPr>
          <w:b/>
        </w:rPr>
        <w:t xml:space="preserve">Quelle: </w:t>
      </w:r>
      <w:r>
        <w:t>https://mcp.opencaselaw.ch/entscheid/bger_1C_676_2020</w:t>
      </w:r>
    </w:p>
    <w:p>
      <w:r>
        <w:t>FR: TF 1C_676/2020 du 15 décembre 2020</w:t>
      </w:r>
    </w:p>
    <w:p>
      <w:r>
        <w:t>IT: TF 1C_676/2020 del 15 dicembre 2020</w:t>
      </w:r>
    </w:p>
    <w:p>
      <w:pPr>
        <w:pStyle w:val="Heading2"/>
      </w:pPr>
      <w:r>
        <w:t>Erwägungen</w:t>
      </w:r>
    </w:p>
    <w:p>
      <w:r>
        <w:rPr>
          <w:b/>
        </w:rPr>
        <w:t>E. 1</w:t>
      </w:r>
    </w:p>
    <w:p>
      <w:r>
        <w:t>Am 20. September 2019 wies der Bauvorsteher der Stadt Uster das nachträgliche Baugesuch von A.________ für je zwei Abstellplätze hinter und vor dem Wohnhaus Florastrasse 19 ab. Er verfügte zudem den Rückbau der Abstellplätze im Vorgartenbereich und die dauerhafte Absperrung der rückwärtigen Parkplätze. Diese Verfügung wurde vom Zürcher Verwaltungsgericht am 3. September 2020 kantonal letztinstanzlich geschützt.</w:t>
      </w:r>
    </w:p>
    <w:p>
      <w:r>
        <w:t>Mit Beschwerde vom 4. Dezember 2020 beantragt A.________, die Bauämter anzuweisen, ihre Aufgabe ernst zu nehmen, Bauabstände nach Möglichkeit einzuhalten, die gebrauchstüchtige Erschliessung zu berücksichtigen und die Vorgaben des Stadtpräsidenten einzuhalten. Die Erschliessung für Tiefgaragen müsse möglich gemacht werden, und Bauämter seien nicht "auf Bussgelder zu züchten".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und legt nicht dar, inwiefern er Bundesrecht verletzt. Auf die Beschwerde ist wegen Verletzung der gesetzlichen Begründungspflicht im vereinfachten Verfahren nicht einzutreten.</w:t>
      </w:r>
    </w:p>
    <w:p>
      <w:r>
        <w:t>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