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1C_675/2019 vom 28. Januar 2020</w:t>
      </w:r>
    </w:p>
    <w:p>
      <w:r>
        <w:t>Bundesgericht, 2020-01-28, DE</w:t>
      </w:r>
    </w:p>
    <w:p>
      <w:r>
        <w:rPr>
          <w:b/>
        </w:rPr>
        <w:t xml:space="preserve">Quelle: </w:t>
      </w:r>
      <w:r>
        <w:t>https://mcp.opencaselaw.ch/entscheid/bger_1C_675_2019</w:t>
      </w:r>
    </w:p>
    <w:p>
      <w:r>
        <w:t>FR: TF 1C_675/2019 du 28 janvier 2020</w:t>
      </w:r>
    </w:p>
    <w:p>
      <w:r>
        <w:t>IT: TF 1C_675/2019 del 28 gennaio 2020</w:t>
      </w:r>
    </w:p>
    <w:p>
      <w:pPr>
        <w:pStyle w:val="Heading2"/>
      </w:pPr>
      <w:r>
        <w:t>Erwägungen</w:t>
      </w:r>
    </w:p>
    <w:p>
      <w:r>
        <w:rPr>
          <w:b/>
        </w:rPr>
        <w:t>E. 1</w:t>
      </w:r>
    </w:p>
    <w:p>
      <w:r>
        <w:t>Am 12. August 2019 wurde A.________ bei einem Einsatz der Kantonspolizei St. Gallen festgenommen und auf den Polizeiposten gebracht. Am 22. August 2019 reichte A.________ eine Strafanzeige gegen die beiden beteiligten Polizisten ein wegen Anwendung unverhältnismässigen Zwangs etc.</w:t>
      </w:r>
    </w:p>
    <w:p>
      <w:r>
        <w:t>Am 13. November 2019 erteilte die Anklagekammer des Kantons St. Gallen keine Ermächtigung zur Eröffnung eines Strafverfahrens gegen die beiden Beamten.</w:t>
      </w:r>
    </w:p>
    <w:p>
      <w:r>
        <w:t>Mit Eingabe vom 23. Dezember 2019 erhob A.________ Beschwerde gegen diesen Entscheid der Anklagekammer.</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Beschwerdeführerin begründet ihre Eingabe nicht und legt damit nicht dar, weshalb der angefochtene Entscheid Bundesrecht verletzen soll. Das ist auch nicht ersichtlich. Auf die Beschwerde ist daher wegen Verletzung der gesetzlichen Begründungspflicht nicht einzutreten, und zwar, da der Mangel offensichtlich ist, im vereinfachten Verfahren.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