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1C_674/2013 vom 12. Dezember 2013</w:t>
      </w:r>
    </w:p>
    <w:p>
      <w:r>
        <w:t>Bundesgericht, 2013-12-12, FR</w:t>
      </w:r>
    </w:p>
    <w:p>
      <w:r>
        <w:rPr>
          <w:b/>
        </w:rPr>
        <w:t xml:space="preserve">Quelle: </w:t>
      </w:r>
      <w:r>
        <w:t>https://mcp.opencaselaw.ch/entscheid/bger_1C_674_2013</w:t>
      </w:r>
    </w:p>
    <w:p>
      <w:r>
        <w:t>FR: TF 1C_674/2013 du 12 décembre 2013</w:t>
      </w:r>
    </w:p>
    <w:p>
      <w:r>
        <w:t>IT: TF 1C_674/2013 del 12 dicembre 2013</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Pour le surplus, le recourant possède la qualité pour recourir au sens de l' art. 89 al. 1 LTF et le recours a été déposé en temps utile ( art. 45, 46 et 100 al. 1 LTF ). Les conditions de recevabilité étant remplies, il y a lieu d'entrer en matière.</w:t>
      </w:r>
    </w:p>
    <w:p>
      <w:r>
        <w:rPr>
          <w:b/>
        </w:rPr>
        <w:t>E. 2</w:t>
      </w:r>
    </w:p>
    <w:p>
      <w:r>
        <w:t>Dans un grief d'ordre formel qu'il convient d'examiner en premier lieu, le recourant se plaint d'une violation de son droit d'être entendu ( art. 29 al. 2 Cst. ).</w:t>
      </w:r>
    </w:p>
    <w:p>
      <w:r>
        <w:rPr>
          <w:b/>
        </w:rPr>
        <w:t>E. 2.1</w:t>
      </w:r>
    </w:p>
    <w:p>
      <w:r>
        <w:t>Garanti à l' art. 29 al. 2 Cst. , le droit d'être entendu comprend notamment le droit pour l'intéressé de prendre connaissance du dossier, d'offrir des preuves pertinentes, d'obtenir qu'il y soit donné suite, de participer à l'administration des preuves essentielles ou à tout le moins de s'exprimer sur son résultat lorsque cela est de nature à influer sur la décision à rendre ( ATF 138 III 252 consid. 2.2 p. 255; 135 II 286 consid. 5.1 p. 293 et les arrêts cités).</w:t>
      </w:r>
    </w:p>
    <w:p>
      <w:r>
        <w:rPr>
          <w:b/>
        </w:rPr>
        <w:t>E. 2.2</w:t>
      </w:r>
    </w:p>
    <w:p>
      <w:r>
        <w:t>Invoquant tout d'abord une violation des art. 26 ss PA (RS 172.021), le recourant soutient en substance que l'autorité précédente aurait fondé son raisonnement sur les pièces du dossier auxquelles il n'avait pas eu accès.</w:t>
      </w:r>
    </w:p>
    <w:p>
      <w:r>
        <w:t>Le droit de consulter le dossier s'étend à toutes pièces décisives figurant au dossier ( ATF 129 I 85 consid. 4.1 p. 88; 125 II 473 consid. 4c/cc p. 478; 121 I 225 consid. 2a p. 227). L' art. 27 al. 1 let. b PA permet cependant à l'autorité de refuser la consultation de pièces si des intérêts privés importants, en particulier ceux des parties adverses, exigent que le secret soit gardé (cf. également ATF 126 I 17 consid. 2b p. 10; 122 I 153 consid. 6a p. 161; 121 I 225 consid. 2 p. 227 ss). Selon la jurisprudence, les intérêts opposés - soit, d'une part, le droit à la consultation et, d'autre part, le maintien du secret - doivent être pondérés ( ATF 122 I 153 consid. 6a p. 161) et le principe de proportionnalité respecté ( ATF 115 Ia 296 consid. 5c p. 304). En vertu de l' art. 28 PA , une pièce dont la consultation a été refusée à une partie ne peut être utilisée à son désavantage que si l'autorité lui en a communiqué, oralement ou par écrit, le contenu essentiel se rapportant à l'affaire et lui a donné en outre l'occasion de s'exprimer et de fournir des contre-preuves ( ATF 115 Ia 293 consid. 5c p. 304 s.).</w:t>
      </w:r>
    </w:p>
    <w:p>
      <w:r>
        <w:t>En l'espèce, la juridiction précédente a estimé que les pièces litigieuses - dont le contenu essentiel a été communiqué de manière suffisante par l'ODM dans sa note du 29 avril 2010 - n'étaient pas décisives dans la présente cause. Il n'est ainsi fait aucune référence dans la décision attaquée à de possibles comportements violents du recourant; les arguments développés par ce dernier afin de démontrer l'absence de tels gestes de sa part sont dès lors dénués de toute pertinence (cf. en particulier ad let. e et f de son mémoire). Quant aux conclusions relatives au défaut de volonté de maintenir une union conjugale avec sa première épouse, elles résultent, ainsi que l'a clairement indiqué le Tribunal administratif fédéral, de l'enchaînement des événements, de la convention réglant les effets accessoires du divorce (cf. consid. 7.3.2 du jugement attaqué, p. 19 s.), des courriers du recourant du 15 janvier et du 26 février 2010 (cf. consid. 7.3.2 et 7.3.3 p. 19 s.) et de son mémoire de recours (cf. consid. 7.3.3 p. 20).</w:t>
      </w:r>
    </w:p>
    <w:p>
      <w:r>
        <w:t>En conséquence, les pièces soustraites à la connaissance du recourant n'ont eu aucune influence sur l'issue du litige et il ne peut ainsi être reproché aux premiers juges d'avoir maintenu la protection conférée par l' art. 27 al. 1 PA à certaines pièces du dossier.</w:t>
      </w:r>
    </w:p>
    <w:p>
      <w:r>
        <w:rPr>
          <w:b/>
        </w:rPr>
        <w:t>E. 2.3</w:t>
      </w:r>
    </w:p>
    <w:p>
      <w:r>
        <w:t>Le recourant reproche ensuite à l'instance précédente d'avoir refusé d'entendre son ex-épouse en qualité de témoin.</w:t>
      </w:r>
    </w:p>
    <w:p>
      <w:r>
        <w:t>L'autorité de décision peut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voir ATF 138 III 378 consid. 6.1 p. 379 s.).</w:t>
      </w:r>
    </w:p>
    <w:p>
      <w:r>
        <w:t>En l'espèce, l'ex-épouse du recourant a été formellement sollicitée par l'ODM au cours de la procédure afin qu'elle dépose des déterminations écrites. Or elle a clairement indiqué le 8 novembre 2010 ne pas vouloir s'exprimer sur son mariage et la procédure de naturalisation. Dès lors et au vu de l'importance du dossier, l'autorité pouvait légitimement retenir que l'audition de cette dernière n'apporterait aucun élément supplémentaire à ceux déjà recueillis, en particulier sur la base des nombreuses écritures du recourant, des courriers des deux voisins requis par ce dernier et du jugement de divorce. La juridiction précédente n'a donc pas procédé de manière arbitraire en rejetant la requête d'audition de l'ex-épouse du recourant.</w:t>
      </w:r>
    </w:p>
    <w:p>
      <w:r>
        <w:rPr>
          <w:b/>
        </w:rPr>
        <w:t>E. 2.4</w:t>
      </w:r>
    </w:p>
    <w:p>
      <w:r>
        <w:t>En conséquence, le grief de violation du droit d'être entendu doit être écarté.</w:t>
      </w:r>
    </w:p>
    <w:p>
      <w:r>
        <w:rPr>
          <w:b/>
        </w:rPr>
        <w:t>E. 3</w:t>
      </w:r>
    </w:p>
    <w:p>
      <w:r>
        <w:t>Le recourant se plaint d'une violation de l'art. 41 de la loi fédérale du 29 septembre 1952 sur l'acquisition et la perte de la nationalité suisse (LN ou loi sur la nationalité; RS 141.0).</w:t>
      </w:r>
    </w:p>
    <w:p>
      <w:r>
        <w:rPr>
          <w:b/>
        </w:rPr>
        <w:t>E. 3.1</w:t>
      </w:r>
    </w:p>
    <w:p>
      <w:r>
        <w:t>Conformément à l' art. 41 al. 1 LN qui, sur le fond est identique à l' art. 41 LN dans sa teneur jusqu'au 1er mars 2011,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3.1.1</w:t>
      </w:r>
    </w:p>
    <w:p>
      <w:r>
        <w:t>Pour qu'une naturalisation facilitée soit annulée, il faut qu'elle ait été acquise grâce à un comportement déloyal et trompeur : l'intéressé doit avoir donné sciemment de fausses informations à l'autorité ou l'avoir délibérément laissée dans l'erreur sur des faits qu'il savait essentiels ( ATF 135 II 161 consid. 2 p. 165; 132 II 113 consid. 3.1 p. 114 s.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(sur cette notion, cf. ATF 138 III 378 consid. 6.1 p. 379 s., 393 consid. 4.3.1 p. 198), contraire au but de la loi ou au principe de la proportionnalité ( ATF 129 III 400 consid. 3.1 p. 403; 128 II 97 consid. 4a p. 101 et les arrêts cités).</w:t>
      </w:r>
    </w:p>
    <w:p>
      <w:r>
        <w:rPr>
          <w:b/>
        </w:rPr>
        <w:t>E. 3.1.2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121 II 49 consid. 2b p. 51 s.). En revanche, le fait qu'une ressortissante suisse et un ressortissant étranger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(arrêt 5A.11/2006 du 27 juin 2006 consid. 3.1).</w:t>
      </w:r>
    </w:p>
    <w:p>
      <w:r>
        <w:rPr>
          <w:b/>
        </w:rPr>
        <w:t>E. 3.2</w:t>
      </w:r>
    </w:p>
    <w:p>
      <w:r>
        <w:t>La procédure administrative fédérale est régie par le principe de la libre appréciation des preuves (art. 40 de la loi fédérale du 4 décembre 1947 de procédure civile fédérale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que l'autorité puisse se fonder sur une présomption pour établir que le conjoint naturalisé a menti lorsqu'il a déclaré former une union stable, dans la mesure où il s'agit d'un fait psychique, lié à des éléments relevant de la sphère intime et difficiles à prouver ( ATF 135 II 161 consid. 3 p. 166; 130 II 482 consid. 3.2 p. 485 s.). Si l'enchaînement rapide des événements fonde une telle présomption, c'est alors à l'administré qu'il incombe de la renverser ( ATF 130 II 482 consid. 3.2 p. 486). Il n'a pas besoin, pour cela, de rapporter la preuve contraire : il suffit qu'il parvienne à faire admettre l'existence d'une possibilité raisonnable qu'il n'ait pas menti en déclarant former une communauté stable avec son conjoint. Il peut le faire notamment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Le Tribunal administratif fédéral a considéré que l'enchaînement relativement rapide des faits - rejet de la demande d'asile assortie d'un renvoi (8 février 2000), rencontre avec sa future épouse (automne 2001), mariage avec celle-ci (8 novembre 2002), requête de naturalisation facilitée (28 mai 2006), déclaration commune (4 décembre 2006), octroi de la nationalité (28 décembre 2006), dépôt d'une requête commune de divorce (7 octobre 2008), jugement de divorce (30 janvier 2009), rencontre de sa future seconde femme au Kosovo (mars 2009), fiançailles et demande de visa pour cette dernière en vue de son remariage (juillet 2009) - permettait de conclure que la communauté conjugale que le recourant formait avec sa première épouse n'était plus étroite et effective au moment de la signature de la déclaration commune et, à plus forte raison, au moment de la naturalisation. Pour les premiers juges, cette présomption était corroborée par le fait que la décision de se marier avait été prise alors que le recourant ne bénéficiait d'aucun titre de séjour, par la différence d'âge entre les époux (16 ans), le défaut de volonté du recourant de sauver son union, la constatation dans la convention sur les effets accessoires du divorce qu'il n'aurait "guère contribué au paiement des charges du ménage" et la célérité avec laquelle il avait rencontré sa future seconde épouse, puis entamé des démarches en vue du regroupement familial après son divorce.</w:t>
      </w:r>
    </w:p>
    <w:p>
      <w:r>
        <w:t>Ce raisonnement ne prête pas le flanc à la critique. En effet, contrairement à ce que soutient le recourant, la présomption de fait que la naturalisation facilitée a été obtenue frauduleusement ne peut être exclue du seul fait que le couple n'aurait déposé sa requête commune en divorce (le 7 octobre 2008) que vingt-et-un mois après l'octroi de la nationalité (cf. notamment arrêts 1C_172/2012 du 11 mai 2012 consid. 2.2 [21 mois]; 1C_472/2011 du 22 décembre 2011 consid. 2.1.3 [20 mois]; 1C_158/2011 du 26 août 2011 consid. 4.3 [20 mois]).</w:t>
      </w:r>
    </w:p>
    <w:p>
      <w:r>
        <w:t>En conséquence, les premiers juges n'ont pas violé le droit fédéral en retenant que la présomption de fait était réalisée.</w:t>
      </w:r>
    </w:p>
    <w:p>
      <w:r>
        <w:rPr>
          <w:b/>
        </w:rPr>
        <w:t>E. 3.4</w:t>
      </w:r>
    </w:p>
    <w:p>
      <w:r>
        <w:t>Conformément à la jurisprudence précitée, il convient encore d'examiner si le recourant est parvenu à renverser cette présomption en rendant vraisemblable, soit la survenance d'un événement extraordinaire susceptible d'expliquer une dégradation aussi rapide du lien conjugale, soit l'absence de conscience de la gravité des problèmes de couple au moment de la signature de la déclaration commune.</w:t>
      </w:r>
    </w:p>
    <w:p>
      <w:r>
        <w:t>En l'occurrence, les éléments avancés par le recourant ne permettent pas de démontrer que la communauté conjugale qu'il formait avec son ex-épouse postérieurement à l'octroi de la nationalité était stable et orientée vers un avenir commun. Il ne peut ainsi être tiré aucun argument des voyages effectués, faute d'indication temporelle précise à leur sujet (cf. notamment la photographie du couple à Paris) ou de preuve que le recourant aurait voyagé avec son ex-épouse (cf. le visa égyptien). Quant à la photographie alléguée prise au Kosovo en 2007, elle est en contradiction avec les déclarations mêmes du recourant qui affirme que son ex-femme ne s'y serait rendue que préalablement à leur mariage (cf. son courrier du 3 décembre 2010 p. 1 s.). Dès lors, le seul séjour à Hongkong au début février 2007 n'est pas suffisant pour remettre en cause les constatations de l'autorité précédente; au vu de sa date, il pourrait d'ailleurs avoir été planifié avant la réception de la décision d'octroi de la nationalité du 28 décembre 2006, a fortiori avant l'entrée en force de celle-ci au 29 janvier 2007. Enfin, les remarques figurant dans le rapport de police du 28 juillet 2006 établi dans la cadre de la procédure d'octroi de la nationalité ne garantissent pas que les relations du couple ne se soient pas dégradées dans les mois suivants.</w:t>
      </w:r>
    </w:p>
    <w:p>
      <w:r>
        <w:t>Quant à l'envie de paternité alléguée depuis 2007 - soit la même année que celle de l'entrée en force de la décision d'octroi de la naturalisation -, elle ne peut avoir à elle seule provoqué la désunion du couple et permettre de renverser la présomption de fait. En effet, au moment du mariage en novembre 2002, le recourant n'ignorait ni l'âge de son épouse, ni son opinion sur la question d'une descendance commune. Il ne peut donc pas prétendre ne pas avoir été conscient que s'il entendait un jour fonder une famille, il devrait mettre un terme à cette union. Par conséquent, les premiers juges ont considéré avec raison que le recourant ne pouvait avoir la conviction que sa communauté conjugale était stable, effective et tournée vers l'avenir au moment de la signature de la déclaration commune ou de la décision de naturalisation.</w:t>
      </w:r>
    </w:p>
    <w:p>
      <w:r>
        <w:rPr>
          <w:b/>
        </w:rPr>
        <w:t>E. 3.5</w:t>
      </w:r>
    </w:p>
    <w:p>
      <w:r>
        <w:t>Il en découle que les conditions d'application de l' art. 41 LN sont réunies et que l'instance précédente n'a pas violé le droit fédéral en confirmant l'annulation de la naturalisation facilitée qui avait été octroyée au recourant.</w:t>
      </w:r>
    </w:p>
    <w:p>
      <w:r>
        <w:rPr>
          <w:b/>
        </w:rPr>
        <w:t>E. 4</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